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CONFLICT OF INTEREST POLICY</w:t>
        <w:br/>
        <w:t>NYC Philosophy &amp; Psychology Readers Community, Inc.</w:t>
      </w:r>
    </w:p>
    <w:p>
      <w:pPr>
        <w:jc w:val="center"/>
      </w:pPr>
      <w:r>
        <w:rPr>
          <w:i/>
        </w:rPr>
        <w:t>Based on the IRS sample policy (Instructions for Form 1023, Appendix A) and N-PCL §§715 and 715-a — adopted by the Board on [date]</w:t>
      </w:r>
    </w:p>
    <w:p>
      <w:pPr>
        <w:pStyle w:val="Heading1"/>
      </w:pPr>
      <w:r>
        <w:t>Article I — Purpose</w:t>
      </w:r>
    </w:p>
    <w:p>
      <w:r>
        <w:t>The purpose of this Policy is to protect the interests of the Corporation when it is contemplating entering into a transaction or arrangement that might benefit the private interest of a director, officer, key person or the Member, or that might result in an excess benefit transaction under Section 4958 of the Internal Revenue Code (the “Code”); and to comply with N-PCL §§715 and 715-a. This Policy supplements, and does not replace, applicable state and federal law.</w:t>
      </w:r>
    </w:p>
    <w:p>
      <w:pPr>
        <w:pStyle w:val="Heading1"/>
      </w:pPr>
      <w:r>
        <w:t>Article II — Definitions</w:t>
      </w:r>
    </w:p>
    <w:p>
      <w:r>
        <w:t>1. Interested Person. Any director, officer, key person (N-PCL §102(a)(25)), member of a Board committee, or the Member, who has a direct or indirect Financial Interest or other conflicting interest.</w:t>
      </w:r>
    </w:p>
    <w:p>
      <w:r>
        <w:t>2. Financial Interest. A person has a Financial Interest if the person has, directly or indirectly, through business, investment, or a Relative: (a) an ownership or investment interest in any entity with which the Corporation has a transaction or arrangement; (b) a compensation arrangement with the Corporation or with any entity or individual with which the Corporation has a transaction or arrangement; or (c) a potential ownership or investment interest in, or compensation arrangement with, any entity or individual with which the Corporation is negotiating. Compensation includes direct and indirect remuneration and gifts or favors that are not insubstantial. A Financial Interest is not necessarily a conflict; under Article III, the Board decides whether a conflict exists.</w:t>
      </w:r>
    </w:p>
    <w:p>
      <w:r>
        <w:t>3. Related Party and Related Party Transaction. As defined in N-PCL §102(a) (including any director, officer or key person; any Relative of such persons; and any entity in which such a person has a 35% or greater ownership or beneficial interest or, for partnerships and professional corporations, a direct or indirect ownership interest over 5%), and any transaction, agreement or arrangement in which a Related Party has a financial interest and the Corporation is a participant, except transactions excluded by N-PCL §102(a)(24) (e.g., de minimis transactions, and benefits received as a member of a class of beneficiaries on the same terms as others).</w:t>
      </w:r>
    </w:p>
    <w:p>
      <w:r>
        <w:t>4. Relative. A spouse or domestic partner; ancestors; brothers and sisters (whole or half); children (natural or adopted), grandchildren and great-grandchildren; and spouses or domestic partners of brothers, sisters, children, grandchildren and great-grandchildren.</w:t>
      </w:r>
    </w:p>
    <w:p>
      <w:r>
        <w:rPr>
          <w:b/>
          <w:color w:val="B00000"/>
        </w:rPr>
        <w:t xml:space="preserve">ATTORNEY NOTE / FLAG: </w:t>
      </w:r>
      <w:r>
        <w:rPr>
          <w:i/>
        </w:rPr>
        <w:t>Counsel should confirm the definitions track the current text of N-PCL §102(a)(23)-(25) (related party, relative, key person) as amended in 2016-2017; the statute text could not be fetched directly during drafting (see Research Notes).</w:t>
      </w:r>
    </w:p>
    <w:p>
      <w:pPr>
        <w:pStyle w:val="Heading1"/>
      </w:pPr>
      <w:r>
        <w:t>Article III — Procedures</w:t>
      </w:r>
    </w:p>
    <w:p>
      <w:r>
        <w:t>1. Duty to Disclose. An Interested Person must disclose in good faith the existence and material facts of any Financial Interest or Related Party Transaction to the Board or authorized committee before the matter is considered, and may not attempt to influence improperly the deliberation or voting on the matter (N-PCL §715-a(b)).</w:t>
      </w:r>
    </w:p>
    <w:p>
      <w:r>
        <w:t>2. Recusal. After disclosure, and after answering any questions the Board asks before deliberation begins, the Interested Person shall leave the meeting (or the virtual meeting room) and shall not be present at or participate in the deliberation or vote, and shall not be counted toward the vote (N-PCL §§715(h), 715-a(b)(3)). The Interested Person may not sign, approve, or process payment of the matter on behalf of the Corporation.</w:t>
      </w:r>
    </w:p>
    <w:p>
      <w:r>
        <w:t>3. Determining Whether a Conflict Exists. The remaining disinterested directors shall decide whether a conflict exists.</w:t>
      </w:r>
    </w:p>
    <w:p>
      <w:r>
        <w:t>4. Addressing the Conflict. (a) The Chair (or, if the Chair is interested, a disinterested director) may appoint a disinterested person to investigate alternatives. (b) After exercising due diligence, the disinterested directors shall determine whether the Corporation can obtain, with reasonable effort, a more advantageous transaction or arrangement from a person or entity that would not give rise to a conflict. (c) If not, the disinterested directors shall determine by majority vote whether the transaction is fair, reasonable and in the Corporation's best interest at the time of the determination, and approve or reject it. (d) For a Related Party Transaction in which the Related Party has a substantial financial interest, the Board shall, before approval, consider alternative transactions to the extent available, approve by not less than a majority of the directors present, and contemporaneously document in writing the basis for approval including its consideration of alternatives (N-PCL §715(b)).</w:t>
      </w:r>
    </w:p>
    <w:p>
      <w:r>
        <w:t>5. Rebuttable Presumption Procedures (Code §4958). For any compensation or property transaction with a disqualified person (including the Member, any director or officer, and their family members), the Board shall: (a) have the arrangement approved in advance by disinterested directors; (b) obtain and rely on appropriate comparability data (e.g., rates paid by similar organizations for comparable services); and (c) adequately and concurrently document the basis for its decision before the later of the next Board meeting or 60 days after the final action (Treas. Reg. §53.4958-6).</w:t>
      </w:r>
    </w:p>
    <w:p>
      <w:pPr>
        <w:pStyle w:val="Heading1"/>
      </w:pPr>
      <w:r>
        <w:t>Article IV — Violations</w:t>
      </w:r>
    </w:p>
    <w:p>
      <w:r>
        <w:t>If the Board has reasonable cause to believe a person has failed to disclose an actual or possible conflict, it shall inform the person and afford an opportunity to explain. If, after hearing the response and further investigation, the Board determines the person has failed to disclose, it shall take appropriate disciplinary and corrective action, which may include removal, rescission of the transaction, and recovery of any excess benefit.</w:t>
      </w:r>
    </w:p>
    <w:p>
      <w:pPr>
        <w:pStyle w:val="Heading1"/>
      </w:pPr>
      <w:r>
        <w:t>Article V — Records of Proceedings</w:t>
      </w:r>
    </w:p>
    <w:p>
      <w:r>
        <w:t>The minutes shall contain: (a) the names of persons who disclosed or were found to have a Financial Interest or conflict, the nature of the interest, any action taken to determine whether a conflict was present, and the Board's decision; and (b) the names of persons present for discussions and votes, the content of the discussion including alternatives considered and comparability data, and a record of the vote.</w:t>
      </w:r>
    </w:p>
    <w:p>
      <w:pPr>
        <w:pStyle w:val="Heading1"/>
      </w:pPr>
      <w:r>
        <w:t>Article VI — Compensation</w:t>
      </w:r>
    </w:p>
    <w:p>
      <w:r>
        <w:t>A voting director who receives compensation, directly or indirectly, from the Corporation for services may not vote on matters pertaining to that director's compensation, and may not vote or be present for deliberations on any compensation policy under which that director may be paid (such as the Organizer Compensation Policy), but may provide information before deliberation begins.</w:t>
      </w:r>
    </w:p>
    <w:p>
      <w:pPr>
        <w:pStyle w:val="Heading1"/>
      </w:pPr>
      <w:r>
        <w:t>Article VII — Annual Statements</w:t>
      </w:r>
    </w:p>
    <w:p>
      <w:r>
        <w:t>Each director (and each officer, key person and the Member) shall, prior to initial election and annually thereafter, sign the Annual Disclosure Statement in Exhibit A, stating that the person has received, read, understood and agreed to comply with this Policy, and listing, to the best of the person's knowledge, (i) any entity of which the person is an officer, director, trustee, member, owner (as sole proprietor or partner) or employee, and with which the Corporation has a relationship, and (ii) any transaction in which the Corporation is a participant and in which the person might have a conflicting interest (N-PCL §715-a(c)). The Secretary shall provide copies to the Chair or, if the Chair is the discloser, to a disinterested director.</w:t>
      </w:r>
    </w:p>
    <w:p>
      <w:pPr>
        <w:pStyle w:val="Heading1"/>
      </w:pPr>
      <w:r>
        <w:t>Article VIII — Periodic Reviews</w:t>
      </w:r>
    </w:p>
    <w:p>
      <w:r>
        <w:t>The Board shall conduct a periodic review, at least annually, to ensure the Corporation operates in a manner consistent with charitable purposes and does not engage in activities that could jeopardize tax exemption, including whether compensation arrangements (including event-host payments) are reasonable and the result of arm's-length bargaining, and whether the Meetup Group License Agreement and any arrangement with an Interested Person's business conforms to this Policy, furthers charitable purposes and does not result in inurement, impermissible private benefit or an excess benefit transaction. Outside advisors may be used, but their use does not relieve the Board of its responsibility.</w:t>
      </w:r>
    </w:p>
    <w:p>
      <w:pPr>
        <w:pStyle w:val="Heading1"/>
      </w:pPr>
      <w:r>
        <w:t>Article IX — Oversight</w:t>
      </w:r>
    </w:p>
    <w:p>
      <w:r>
        <w:t>This Policy is overseen by the Board [or, once the Corporation has one, by a committee of independent directors]. Only independent directors may serve on any committee overseeing it, to the extent required by N-PCL §715-a.</w:t>
      </w:r>
    </w:p>
    <w:p>
      <w:r>
        <w:br w:type="page"/>
      </w:r>
    </w:p>
    <w:p>
      <w:pPr>
        <w:pStyle w:val="Heading1"/>
      </w:pPr>
      <w:r>
        <w:t>Schedule 1 — Standing Disclosures of Ryan Bohman (Member, Director, Chair, [President])</w:t>
      </w:r>
    </w:p>
    <w:p>
      <w:r>
        <w:t>The following known interests are disclosed at adoption and shall be updated annually and whenever they change:</w:t>
      </w:r>
    </w:p>
    <w:p>
      <w:pPr>
        <w:pStyle w:val="ListNumber"/>
      </w:pPr>
      <w:r>
        <w:t>Private psychotherapy practice. Ryan Bohman operates a for-profit therapy practice, [name / form of entity]. Agreed safeguards: (a) no promotion, advertising, or solicitation for the practice at Corporation events, on Corporation channels, websites, mailing lists or the licensed Meetup group; (b) no use of Corporation participant, donor or mailing-list data for the practice; (c) Corporation events are educational and are not therapy, and organizers will not offer clinical services; (d) any referral by a participant who independently seeks out the practice must not be the result of Corporation solicitation; (e) no transaction between the Corporation and the practice without prior approval under Article III.</w:t>
      </w:r>
    </w:p>
    <w:p>
      <w:pPr>
        <w:pStyle w:val="ListNumber"/>
      </w:pPr>
      <w:r>
        <w:t>Possible future LLC. Ryan Bohman may form a limited liability company [purpose: e.g., consulting, courses, publishing, events]. He will disclose its formation, purpose and any overlap with the Corporation's programs before it begins business; any transaction, shared resource, or competing program will be reviewed under Article III and N-PCL §715 (an entity he owns 35% or more of is a Related Party).</w:t>
      </w:r>
    </w:p>
    <w:p>
      <w:pPr>
        <w:pStyle w:val="ListNumber"/>
      </w:pPr>
      <w:r>
        <w:t>Personal ownership of the Meetup group. Ryan Bohman personally holds the organizer account for the Meetup group 'NYC Reading Philosophy &amp; Psychology' (meetup.com/reading-philosophy) and related brand assets, licensed to the Corporation under the Meetup Group License Agreement, which is a Related Party Transaction to be approved by the disinterested directors under Article III, Section 4(d).</w:t>
      </w:r>
    </w:p>
    <w:p>
      <w:pPr>
        <w:pStyle w:val="ListNumber"/>
      </w:pPr>
      <w:r>
        <w:t>Event-host compensation. Ryan Bohman may host events and be eligible for payment under the Organizer Compensation Policy. He will recuse from adoption and review of that policy and from approval of any payment to himself.</w:t>
      </w:r>
    </w:p>
    <w:p>
      <w:pPr>
        <w:pStyle w:val="ListNumber"/>
      </w:pPr>
      <w:r>
        <w:t>Sole Member status. As sole Member he elects and removes directors; directors' independence from him should be considered in all related party decisions.</w:t>
      </w:r>
    </w:p>
    <w:p>
      <w:pPr>
        <w:pStyle w:val="ListNumber"/>
      </w:pPr>
      <w:r>
        <w:t>[Domain nycpprc.org, social media accounts, and any other assets currently held personally: list and state whether being transferred to the Corporation or licensed.]</w:t>
      </w:r>
    </w:p>
    <w:p>
      <w:r>
        <w:br w:type="page"/>
      </w:r>
    </w:p>
    <w:p>
      <w:pPr>
        <w:pStyle w:val="Heading1"/>
      </w:pPr>
      <w:r>
        <w:t>Exhibit A — Annual Conflict of Interest Disclosure Statement</w:t>
      </w:r>
    </w:p>
    <w:p>
      <w:r>
        <w:t>Name: ______________________   Position(s): ______________________   Year: ______</w:t>
      </w:r>
    </w:p>
    <w:p>
      <w:pPr>
        <w:pStyle w:val="ListNumber"/>
      </w:pPr>
      <w:r>
        <w:t>I have received, read and understand the Conflict of Interest Policy and agree to comply with it. I understand the Corporation is charitable and, to maintain its federal tax exemption, must engage primarily in activities that accomplish one or more of its tax-exempt purposes.</w:t>
      </w:r>
    </w:p>
    <w:p>
      <w:pPr>
        <w:pStyle w:val="ListNumber"/>
      </w:pPr>
      <w:r>
        <w:t>Entities with which the Corporation has a relationship and in which I am an officer, director, trustee, member, owner (sole proprietor or partner) or employee: ______________________________________________</w:t>
      </w:r>
    </w:p>
    <w:p>
      <w:pPr>
        <w:pStyle w:val="ListNumber"/>
      </w:pPr>
      <w:r>
        <w:t>Transactions or arrangements in which the Corporation is or may be a participant and in which I (or a Relative or an entity I own 35%+ of) might have a conflicting interest: ______________________________________________</w:t>
      </w:r>
    </w:p>
    <w:p>
      <w:pPr>
        <w:pStyle w:val="ListNumber"/>
      </w:pPr>
      <w:r>
        <w:t>Compensation, payments or reimbursements I expect to receive from the Corporation this year (other than expense reimbursement): ______________________</w:t>
      </w:r>
    </w:p>
    <w:p>
      <w:pPr>
        <w:pStyle w:val="ListNumber"/>
      </w:pPr>
      <w:r>
        <w:t>Am I an 'independent director' under N-PCL §102(a)(21) (not employed by the Corporation in the last 3 years, no relative employed as a key person, no more than $10,000 in compensation received from the Corporation in any of the last three years, and no other disqualifying relationship)? [ ] Yes [ ] No</w:t>
      </w:r>
    </w:p>
    <w:p>
      <w:r>
        <w:rPr>
          <w:b/>
          <w:color w:val="B00000"/>
        </w:rPr>
        <w:t xml:space="preserve">ATTORNEY NOTE / FLAG: </w:t>
      </w:r>
      <w:r>
        <w:rPr>
          <w:i/>
        </w:rPr>
        <w:t>Confirm the current §102(a)(21) dollar thresholds with counsel; the $10,000 figure reflects the statute as amended in 2016 but should be verified.</w:t>
      </w:r>
    </w:p>
    <w:p/>
    <w:p>
      <w:r>
        <w:t>Signature: ______________________   Date: __________</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NYCPPRC formation drafts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B00000"/>
        <w:sz w:val="20"/>
      </w:rPr>
      <w:t>DRAFT for attorney review — not legal advice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