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Sav Banerjee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 York, NY | 415-828-5282 | sav@ensopartners.co | linkedin.com/in/savbanerjee | ensolabs.ai | github.com/nycsav</w:t>
      </w:r>
    </w:p>
    <w:p>
      <w:pPr>
        <w:pBdr>
          <w:bottom w:val="single" w:color="cccccc" w:sz="1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Technology and AI consulting leader with 15+ years of enterprise delivery across McCann, RAPP, Omnicom, BBDO, and Publicis. Built and managed teams of 15+ strategists, delivered $150MM+ in client portfolios, and now architects production AI systems for Fortune 500 organizations. Combines Big Agency consulting discipline with hands-on technical AI implementation — a rare profile that bridges strategy decks and deployed systems.</w:t>
      </w:r>
    </w:p>
    <w:p>
      <w:pPr>
        <w:pBdr>
          <w:bottom w:val="single" w:color="cccccc" w:sz="1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Core Competencies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Consulting &amp; Delivery:</w:t>
      </w:r>
      <w:r>
        <w:rPr>
          <w:rFonts w:ascii="Arial" w:cs="Arial" w:eastAsia="Arial" w:hAnsi="Arial"/>
          <w:sz w:val="22"/>
          <w:szCs w:val="22"/>
        </w:rPr>
        <w:t xml:space="preserve"> Enterprise Program Management | Client Relationship Management | Team Leadership (15+) | Stakeholder Alignment | Workshop Facilitation | Change Management | Strategic Roadmapping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Technology &amp; AI:</w:t>
      </w:r>
      <w:r>
        <w:rPr>
          <w:rFonts w:ascii="Arial" w:cs="Arial" w:eastAsia="Arial" w:hAnsi="Arial"/>
          <w:sz w:val="22"/>
          <w:szCs w:val="22"/>
        </w:rPr>
        <w:t xml:space="preserve"> AI Strategy &amp; Implementation | Agentic Systems Architecture | Production AI Deployment | Data &amp; Analytics Pipeline Design | Digital Transformation | Marketing Technology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 Experience:</w:t>
      </w:r>
      <w:r>
        <w:rPr>
          <w:rFonts w:ascii="Arial" w:cs="Arial" w:eastAsia="Arial" w:hAnsi="Arial"/>
          <w:sz w:val="22"/>
          <w:szCs w:val="22"/>
        </w:rPr>
        <w:t xml:space="preserve"> Financial Services | Healthcare / Pharma | Technology | Consumer / Retail | Media &amp; Advertising</w:t>
      </w:r>
    </w:p>
    <w:p>
      <w:pPr>
        <w:pBdr>
          <w:bottom w:val="single" w:color="cccccc" w:sz="1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Certifications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Claude Certified Architect (CCA) — Anthropic, 2026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Google Gemini Professional Certificate — 2026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Perplexity AI Business Fellowship Winner — 2025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CrewAI Multi-Agent Systems — 2025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Google AI Essentials — 2025</w:t>
      </w:r>
    </w:p>
    <w:p>
      <w:pPr>
        <w:pBdr>
          <w:bottom w:val="single" w:color="cccccc" w:sz="1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Professional Experience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Founder &amp; Principal, AI Transformation — Enso Labs | 2020 – Present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Principal-led AI consulting studio serving Fortune 500 clients in Healthcare, Finance, and B2B Technology. Lead all engagements from discovery through production deployment.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Achieved 75% pilot-to-production conversion rate across enterprise AI engagements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Delivered 150%+ revenue growth for Fortune 500 clients through AI transformation programs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Maintained 3-month average time-to-first-value — structured methodology from assessment to production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Built AI market intelligence pipeline processing 731 documents, surfacing 16 validated commercial signals for a global materials manufacturer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Designed and deployed autonomous financial AI agents on production architecture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Consultant — Heller Agency | 2022 – Present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Established AI Center of Excellence for a healthcare/pharma agency. Defined AI roadmap, trained teams, and deployed production systems across strategy, content, and analytics.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Drove 35% time savings across agency workflows through structured AI integration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Reduced campaign launch timelines by 83% (3 months to 2 weeks) via agentic content systems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Architected analytics pipeline delivering 65% faster reporting for client reviews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Trained and upskilled cross-functional teams on AI tools and processes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Senior Director, Strategy — Omnicom / DDB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Led enterprise strategy practice managing multi-million dollar accounts. Built and managed teams of 15+ strategists across business strategy, brand planning, and digital transformation.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Directed cross-functional teams delivering integrated strategy for global enterprise clients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Led new business pitches and account expansion across technology and consumer verticals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VP, Strategy — McCann NY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Directed brand and business strategy for Fortune 500 accounts. Managed senior client relationships and led strategic planning across integrated campaigns.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Oversaw strategic planning for global accounts with multi-year engagement roadmaps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Built and mentored strategy teams, establishing planning frameworks adopted agency-wide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VP, Strategy — RAPP NY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Led data-driven strategy practice for CRM, loyalty, and performance marketing. Managed enterprise client portfolios with direct accountability for measurable business outcomes.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Designed audience segmentation and lifecycle marketing programs for financial services and healthcare clients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Led analytics-driven strategy engagements combining qualitative research with quantitative performance data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Planning Director — VML / Y&amp;R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Developed integrated strategies for enterprise clients spanning digital, social, and traditional channels.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Director, Digital Strategy — BBDO / Organic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Led digital transformation strategies for major brand accounts within the Omnicom network.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Executive Director, Strategy — Rokkan / Publicis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Founded and built the strategy practice from zero at a Publicis digital agency. Hired and managed the team, established methodologies, and delivered award-winning work.</w:t>
      </w:r>
    </w:p>
    <w:p>
      <w:pPr>
        <w:pBdr>
          <w:bottom w:val="single" w:color="cccccc" w:sz="1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Portfolio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ensolabs.ai</w:t>
      </w:r>
      <w:r>
        <w:rPr>
          <w:rFonts w:ascii="Arial" w:cs="Arial" w:eastAsia="Arial" w:hAnsi="Arial"/>
          <w:sz w:val="22"/>
          <w:szCs w:val="22"/>
        </w:rPr>
        <w:t xml:space="preserve"> — AI consulting studio and enterprise case studies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ensolabs.ai/work/heller</w:t>
      </w:r>
      <w:r>
        <w:rPr>
          <w:rFonts w:ascii="Arial" w:cs="Arial" w:eastAsia="Arial" w:hAnsi="Arial"/>
          <w:sz w:val="22"/>
          <w:szCs w:val="22"/>
        </w:rPr>
        <w:t xml:space="preserve"> — Healthcare/pharma AI Center of Excellence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ensolabs.ai/work/enterprise-ai</w:t>
      </w:r>
      <w:r>
        <w:rPr>
          <w:rFonts w:ascii="Arial" w:cs="Arial" w:eastAsia="Arial" w:hAnsi="Arial"/>
          <w:sz w:val="22"/>
          <w:szCs w:val="22"/>
        </w:rPr>
        <w:t xml:space="preserve"> — Enterprise AI enablement methodology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signals.ensolabs.ai</w:t>
      </w:r>
      <w:r>
        <w:rPr>
          <w:rFonts w:ascii="Arial" w:cs="Arial" w:eastAsia="Arial" w:hAnsi="Arial"/>
          <w:sz w:val="22"/>
          <w:szCs w:val="22"/>
        </w:rPr>
        <w:t xml:space="preserve"> — AI-powered content intelligence engine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github.com/nycsav</w:t>
      </w:r>
      <w:r>
        <w:rPr>
          <w:rFonts w:ascii="Arial" w:cs="Arial" w:eastAsia="Arial" w:hAnsi="Arial"/>
          <w:sz w:val="22"/>
          <w:szCs w:val="22"/>
        </w:rPr>
        <w:t xml:space="preserve"> — Production AI systems and open source</w:t>
      </w:r>
    </w:p>
    <w:p>
      <w:pPr>
        <w:pBdr>
          <w:bottom w:val="single" w:color="cccccc" w:sz="1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Education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B.A. Advertising</w:t>
      </w:r>
      <w:r>
        <w:rPr>
          <w:rFonts w:ascii="Arial" w:cs="Arial" w:eastAsia="Arial" w:hAnsi="Arial"/>
          <w:sz w:val="22"/>
          <w:szCs w:val="22"/>
        </w:rPr>
        <w:t xml:space="preserve"> — University of Oregon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2026-05-11T14:14:33.688Z</dcterms:created>
  <dcterms:modified xsi:type="dcterms:W3CDTF">2026-05-11T14:14:33.688Z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