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Sav Banerjee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York, NY | 415-828-5282 | sav@ensopartners.co | linkedin.com/in/savbanerjee | ensolabs.ai | github.com/nycsav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AI transformation leader and agentic systems architect with 15+ years guiding Fortune 500 organizations from AI ambition to production-grade systems. Founded Enso Labs — a principal-led AI studio delivering agentic pipelines, financial AI agents, and enterprise AI enablement for clients including Google, Citi, JPMorgan, Pfizer, and Microsoft. Builds production systems on Claude, Gemini, and multi-agent architectures while maintaining a 75% pilot-to-production conversion rate and 3-month average time-to-first-value.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Competencies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Strategy &amp; Leadership | Technical &amp; Product | Domain Expertise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AI Transformation Strategy | Agentic AI / MCP Architecture | Financial Services AI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Research Commercialization | Multi-Agent Orchestration | Healthcare / Pharma AI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Enterprise AI Adoption | LLM Application Development | B2B Enterprise Tech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Product Strategy &amp; Roadmaps | RAG &amp; Document Intelligence | CRM &amp; Data Systems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Cross-Functional Leadership | Python, Next.js, TypeScript | Advertising &amp; Martech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Stakeholder Management | Firebase, Vercel, Cloud Infra | Regulatory Compliance |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Certifications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Gemini Professional Certificate</w:t>
      </w:r>
      <w:r>
        <w:rPr>
          <w:rFonts w:ascii="Arial" w:cs="Arial" w:eastAsia="Arial" w:hAnsi="Arial"/>
          <w:sz w:val="22"/>
          <w:szCs w:val="22"/>
        </w:rPr>
        <w:t xml:space="preserve"> — Google,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Certified Architect (CCA)</w:t>
      </w:r>
      <w:r>
        <w:rPr>
          <w:rFonts w:ascii="Arial" w:cs="Arial" w:eastAsia="Arial" w:hAnsi="Arial"/>
          <w:sz w:val="22"/>
          <w:szCs w:val="22"/>
        </w:rPr>
        <w:t xml:space="preserve"> — Anthropic, 2026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Perplexity AI Business Fellowship Winner</w:t>
      </w:r>
      <w:r>
        <w:rPr>
          <w:rFonts w:ascii="Arial" w:cs="Arial" w:eastAsia="Arial" w:hAnsi="Arial"/>
          <w:sz w:val="22"/>
          <w:szCs w:val="22"/>
        </w:rPr>
        <w:t xml:space="preserve"> — Perplexity,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CrewAI Multi-Agent Systems</w:t>
      </w:r>
      <w:r>
        <w:rPr>
          <w:rFonts w:ascii="Arial" w:cs="Arial" w:eastAsia="Arial" w:hAnsi="Arial"/>
          <w:sz w:val="22"/>
          <w:szCs w:val="22"/>
        </w:rPr>
        <w:t xml:space="preserve"> — CrewAI, 2025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AI Essentials</w:t>
      </w:r>
      <w:r>
        <w:rPr>
          <w:rFonts w:ascii="Arial" w:cs="Arial" w:eastAsia="Arial" w:hAnsi="Arial"/>
          <w:sz w:val="22"/>
          <w:szCs w:val="22"/>
        </w:rPr>
        <w:t xml:space="preserve"> — Google, 2025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Professional 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Founder &amp; Principal, AI Transformation — Enso Labs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 | 2020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Principal-led AI transformation studio serving Fortune 500 clients across healthcare, finance, and enterprise tech. Architect and ship production AI systems — not just advise on them.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$150MM+ portfolio</w:t>
      </w:r>
      <w:r>
        <w:rPr>
          <w:rFonts w:ascii="Arial" w:cs="Arial" w:eastAsia="Arial" w:hAnsi="Arial"/>
          <w:sz w:val="22"/>
          <w:szCs w:val="22"/>
        </w:rPr>
        <w:t xml:space="preserve"> across Fortune 500 clients including Google, Citi, JPMorgan, Microsoft, Pfizer, and AmEx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150%+ revenue growth</w:t>
      </w:r>
      <w:r>
        <w:rPr>
          <w:rFonts w:ascii="Arial" w:cs="Arial" w:eastAsia="Arial" w:hAnsi="Arial"/>
          <w:sz w:val="22"/>
          <w:szCs w:val="22"/>
        </w:rPr>
        <w:t xml:space="preserve"> for Fortune 500 clients through AI-driven strategy and systems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Maintained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75% pilot-to-production conversion rate</w:t>
      </w:r>
      <w:r>
        <w:rPr>
          <w:rFonts w:ascii="Arial" w:cs="Arial" w:eastAsia="Arial" w:hAnsi="Arial"/>
          <w:sz w:val="22"/>
          <w:szCs w:val="22"/>
        </w:rPr>
        <w:t xml:space="preserve"> — more than 3x the industry average for enterprise 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3-month average time-to-first-value</w:t>
      </w:r>
      <w:r>
        <w:rPr>
          <w:rFonts w:ascii="Arial" w:cs="Arial" w:eastAsia="Arial" w:hAnsi="Arial"/>
          <w:sz w:val="22"/>
          <w:szCs w:val="22"/>
        </w:rPr>
        <w:t xml:space="preserve"> across all enterprise engagements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Enso Trading Terminal</w:t>
      </w:r>
      <w:r>
        <w:rPr>
          <w:rFonts w:ascii="Arial" w:cs="Arial" w:eastAsia="Arial" w:hAnsi="Arial"/>
          <w:sz w:val="22"/>
          <w:szCs w:val="22"/>
        </w:rPr>
        <w:t xml:space="preserve"> — autonomous financial AI agent on Claude + MCP architecture executing real-time market analysis, risk scoring, and trade recommendations (ensolabs.ai/work/trading-terminal)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Market Intelligence Pipeline</w:t>
      </w:r>
      <w:r>
        <w:rPr>
          <w:rFonts w:ascii="Arial" w:cs="Arial" w:eastAsia="Arial" w:hAnsi="Arial"/>
          <w:sz w:val="22"/>
          <w:szCs w:val="22"/>
        </w:rPr>
        <w:t xml:space="preserve"> processing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731 documents</w:t>
      </w:r>
      <w:r>
        <w:rPr>
          <w:rFonts w:ascii="Arial" w:cs="Arial" w:eastAsia="Arial" w:hAnsi="Arial"/>
          <w:sz w:val="22"/>
          <w:szCs w:val="22"/>
        </w:rPr>
        <w:t xml:space="preserve"> in a single run, surfacing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16 novel commercial signals</w:t>
      </w:r>
      <w:r>
        <w:rPr>
          <w:rFonts w:ascii="Arial" w:cs="Arial" w:eastAsia="Arial" w:hAnsi="Arial"/>
          <w:sz w:val="22"/>
          <w:szCs w:val="22"/>
        </w:rPr>
        <w:t xml:space="preserve"> validated by lead scientist for a Fortune 500 manufacturer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and deployed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signal2noise</w:t>
      </w:r>
      <w:r>
        <w:rPr>
          <w:rFonts w:ascii="Arial" w:cs="Arial" w:eastAsia="Arial" w:hAnsi="Arial"/>
          <w:sz w:val="22"/>
          <w:szCs w:val="22"/>
        </w:rPr>
        <w:t xml:space="preserve"> — production content intelligence engine generating daily AI market signals (signals.ensolabs.ai)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Designed multi-agent orchestration systems using CrewAI, Claude MCP, and custom agent frameworks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Solutions Consultant — Heller Agency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 | 2022 – Present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Embedded AI consulting lead building an AI Center of Excellence for a healthcare/pharma agency serving top-10 pharma brands.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35% time savings</w:t>
      </w:r>
      <w:r>
        <w:rPr>
          <w:rFonts w:ascii="Arial" w:cs="Arial" w:eastAsia="Arial" w:hAnsi="Arial"/>
          <w:sz w:val="22"/>
          <w:szCs w:val="22"/>
        </w:rPr>
        <w:t xml:space="preserve"> across agency workflows through AI-powered automation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Reduced campaign launch timelines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83%</w:t>
      </w:r>
      <w:r>
        <w:rPr>
          <w:rFonts w:ascii="Arial" w:cs="Arial" w:eastAsia="Arial" w:hAnsi="Arial"/>
          <w:sz w:val="22"/>
          <w:szCs w:val="22"/>
        </w:rPr>
        <w:t xml:space="preserve"> — from 3 months to 2 weeks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Accelerated reporting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65%</w:t>
      </w:r>
      <w:r>
        <w:rPr>
          <w:rFonts w:ascii="Arial" w:cs="Arial" w:eastAsia="Arial" w:hAnsi="Arial"/>
          <w:sz w:val="22"/>
          <w:szCs w:val="22"/>
        </w:rPr>
        <w:t xml:space="preserve"> via analytics pipeline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Established AI governance frameworks and responsible AI guidelines for pharma compliance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Director, Strategy — Omnicom / DDB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Led strategic planning for T-Mobile, Microsoft, and Johnson &amp; Johnson. Managed cross-functional teams across creative, media, data, and technology.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Vice President, Strategy — McCann New York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Directed brand and business strategy for Citi, American Express, and Microsoft accounts. Led competitive intelligence and consumer insights driving multi-million dollar campaign decisions.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Vice President, Strategy — RAPP New York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CRM, data strategy, and customer lifecycle management for financial services clients. Built data-driven segmentation and targeting frameworks at enterprise scale.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Director — VML / Y&amp;R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Strategic planning lead for Google and JPMorgan Chase accounts. Developed audience-first strategies integrating search, social, and programmatic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Director, Digital Strategy — BBDO / Organic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Executive Director, Strategy — Rokkan / Publicis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York, NY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Portfolio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Project | Description | Link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Enso Labs Studio | AI transformation studio — flagship site | ensolabs.ai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Enso Trading Terminal | Autonomous financial AI agent on Claude + MCP | ensolabs.ai/work/trading-terminal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Enterprise AI Enablement | Fortune 500 AI transformation case studies | ensolabs.ai/work/enterprise-ai |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| GitHub | Production code — agentic systems, Next.js, Python | github.com/nycsav |</w:t>
      </w:r>
    </w:p>
    <w:p>
      <w:pPr>
        <w:pBdr>
          <w:bottom w:val="single" w:color="cccccc" w:sz="1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Arts, Advertising</w:t>
      </w:r>
      <w:r>
        <w:rPr>
          <w:rFonts w:ascii="Arial" w:cs="Arial" w:eastAsia="Arial" w:hAnsi="Arial"/>
          <w:sz w:val="22"/>
          <w:szCs w:val="22"/>
        </w:rPr>
        <w:t xml:space="preserve"> — University of Oregon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2026-05-11T14:14:33.727Z</dcterms:created>
  <dcterms:modified xsi:type="dcterms:W3CDTF">2026-05-11T14:14:33.727Z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