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Sav Banerjee — Cover Letter</w:t>
      </w:r>
    </w:p>
    <w:p>
      <w:pPr>
        <w:pBdr>
          <w:bottom w:val="single" w:color="cccccc" w:sz="1" w:space="4"/>
        </w:pBdr>
        <w:spacing w:after="120" w:before="240"/>
      </w:pPr>
      <w:r>
        <w:rPr>
          <w:rFonts w:ascii="Arial" w:cs="Arial" w:eastAsia="Arial" w:hAnsi="Arial"/>
          <w:b/>
          <w:bCs/>
          <w:color w:val="1a1a1a"/>
          <w:sz w:val="24"/>
          <w:szCs w:val="24"/>
        </w:rPr>
        <w:t xml:space="preserve">Tech Strategy Director, Google DeepMind</w:t>
      </w:r>
    </w:p>
    <w:p>
      <w:pPr>
        <w:spacing w:after="60" w:before="60"/>
      </w:pPr>
      <w:r>
        <w:rPr>
          <w:rFonts w:ascii="Arial" w:cs="Arial" w:eastAsia="Arial" w:hAnsi="Arial"/>
          <w:sz w:val="22"/>
          <w:szCs w:val="22"/>
        </w:rPr>
        <w:t xml:space="preserve">Sav Banerjee | New York, NY | 415-828-5282 | sav@ensopartners.co | ensolabs.ai | linkedin.com/in/savbanerjee</w:t>
      </w:r>
    </w:p>
    <w:p>
      <w:pPr>
        <w:spacing w:after="60" w:before="60"/>
      </w:pPr>
      <w:r>
        <w:rPr>
          <w:rFonts w:ascii="Arial" w:cs="Arial" w:eastAsia="Arial" w:hAnsi="Arial"/>
          <w:sz w:val="22"/>
          <w:szCs w:val="22"/>
        </w:rPr>
        <w:t xml:space="preserve">Dear DeepMind Strategy Team,</w:t>
      </w:r>
    </w:p>
    <w:p>
      <w:pPr>
        <w:spacing w:after="60" w:before="60"/>
      </w:pPr>
      <w:r>
        <w:rPr>
          <w:rFonts w:ascii="Arial" w:cs="Arial" w:eastAsia="Arial" w:hAnsi="Arial"/>
          <w:sz w:val="22"/>
          <w:szCs w:val="22"/>
        </w:rPr>
        <w:t xml:space="preserve">Most AI strategy leaders come from one of two worlds: they either build systems or advise on them. I do both — and that dual fluency is exactly what a Tech Strategy Director at DeepMind needs to bridge research breakthroughs and commercial impact. Over the past five years at Enso Labs, I've managed a $150MM+ portfolio of AI engagements for organizations like Google, Citi, JPMorgan, and Pfizer while simultaneously architecting and shipping production agentic systems — including an autonomous trading terminal built on Claude + MCP and an intelligence pipeline that processed 731 documents to surface 16 validated commercial signals for a Fortune 500 manufacturer.</w:t>
      </w:r>
    </w:p>
    <w:p>
      <w:pPr>
        <w:spacing w:after="60" w:before="60"/>
      </w:pPr>
      <w:r>
        <w:rPr>
          <w:rFonts w:ascii="Arial" w:cs="Arial" w:eastAsia="Arial" w:hAnsi="Arial"/>
          <w:sz w:val="22"/>
          <w:szCs w:val="22"/>
        </w:rPr>
        <w:t xml:space="preserve">The gap between what AI research can do and what enterprises actually deploy is where I've spent my career. At Enso Labs, I've maintained a 75% pilot-to-production conversion rate across every engagement — more than triple the industry average — because I understand the technical constraints, organizational dynamics, and go-to-market realities that determine whether a capability becomes a product or stays a paper. I hold both the Google Gemini Professional Certificate and the Claude Certified Architect credential, giving me hands-on depth across the platforms shaping this market.</w:t>
      </w:r>
    </w:p>
    <w:p>
      <w:pPr>
        <w:spacing w:after="60" w:before="60"/>
      </w:pPr>
      <w:r>
        <w:rPr>
          <w:rFonts w:ascii="Arial" w:cs="Arial" w:eastAsia="Arial" w:hAnsi="Arial"/>
          <w:sz w:val="22"/>
          <w:szCs w:val="22"/>
        </w:rPr>
        <w:t xml:space="preserve">What draws me to DeepMind specifically is the ambition to operate at the frontier of research while building products that reach billions. My 15 years at agencies like McCann, Omnicom, and RAPP taught me how to translate complex technical capabilities into narratives that move enterprise stakeholders — a skill that becomes critical when the underlying technology is as powerful and nuanced as what DeepMind produces. I've done this at the intersection of finance, healthcare, and enterprise tech, the exact verticals where Gemini's capabilities have the most immediate commercial upside.</w:t>
      </w:r>
    </w:p>
    <w:p>
      <w:pPr>
        <w:spacing w:after="60" w:before="60"/>
      </w:pPr>
      <w:r>
        <w:rPr>
          <w:rFonts w:ascii="Arial" w:cs="Arial" w:eastAsia="Arial" w:hAnsi="Arial"/>
          <w:sz w:val="22"/>
          <w:szCs w:val="22"/>
        </w:rPr>
        <w:t xml:space="preserve">I'd welcome the chance to discuss how my combination of production AI building and enterprise strategy consulting maps to DeepMind's priorities. I'm based in New York and available for a conversation at your convenience.</w:t>
      </w:r>
    </w:p>
    <w:p>
      <w:pPr>
        <w:spacing w:after="60" w:before="60"/>
      </w:pPr>
      <w:r>
        <w:rPr>
          <w:rFonts w:ascii="Arial" w:cs="Arial" w:eastAsia="Arial" w:hAnsi="Arial"/>
          <w:sz w:val="22"/>
          <w:szCs w:val="22"/>
        </w:rPr>
        <w:t xml:space="preserve">Sav Banerjee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2026-05-11T14:14:33.738Z</dcterms:created>
  <dcterms:modified xsi:type="dcterms:W3CDTF">2026-05-11T14:14:33.738Z</dcterms:modified>
</cp:coreProperties>
</file>

<file path=docProps/custom.xml><?xml version="1.0" encoding="utf-8"?>
<Properties xmlns="http://schemas.openxmlformats.org/officeDocument/2006/custom-properties" xmlns:vt="http://schemas.openxmlformats.org/officeDocument/2006/docPropsVTypes"/>
</file>