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  <w:r>
        <w:rPr>
          <w:rFonts w:ascii="Arial" w:cs="Arial" w:eastAsia="Arial" w:hAnsi="Arial"/>
          <w:sz w:val="22"/>
          <w:szCs w:val="22"/>
        </w:rPr>
        <w:t xml:space="preserve"> | sav@ensopartners.co | 415-828-5282 | linkedin.com/in/savbanerjee | ensolabs.ai | github.com/nycsav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Certified Architect and AI transformation leader with 15+ years of enterprise consulting experience, now building production agentic AI systems on Claude and MCP architecture. Proven 75% pilot-to-production conversion rate across Fortune 500 engagements. Designed and deployed financial AI agents on Claude before Anthropic's financial services launch. Combines deep technical architecture expertise with enterprise delivery discipline — from LLM evaluation and RAG pipelines to multi-agent orchestration and AI Center of Excellence design.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Architecture | Model Context Protocol (MCP) | Agentic AI Systems | Enterprise AI Deployment | Pilot-to-Production Strategy | AI Center of Excellence Design | LLM Evaluation | RAG Architecture | Multi-Agent Systems | Financial AI Applications | Production AI Operations | Technical Solution Design | Stakeholder &amp; Executive Communication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Certified Architect (CCA)</w:t>
      </w:r>
      <w:r>
        <w:rPr>
          <w:rFonts w:ascii="Arial" w:cs="Arial" w:eastAsia="Arial" w:hAnsi="Arial"/>
          <w:sz w:val="22"/>
          <w:szCs w:val="22"/>
        </w:rPr>
        <w:t xml:space="preserve"> — Anthropic,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 Financial Services Briefing</w:t>
      </w:r>
      <w:r>
        <w:rPr>
          <w:rFonts w:ascii="Arial" w:cs="Arial" w:eastAsia="Arial" w:hAnsi="Arial"/>
          <w:sz w:val="22"/>
          <w:szCs w:val="22"/>
        </w:rPr>
        <w:t xml:space="preserve"> — Invited Attendee, May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Gemini Professional Certificate</w:t>
      </w:r>
      <w:r>
        <w:rPr>
          <w:rFonts w:ascii="Arial" w:cs="Arial" w:eastAsia="Arial" w:hAnsi="Arial"/>
          <w:sz w:val="22"/>
          <w:szCs w:val="22"/>
        </w:rPr>
        <w:t xml:space="preserve"> —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Perplexity AI Business Fellowship Winner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CrewAI Multi-Agent Systems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AI Essentials</w:t>
      </w:r>
      <w:r>
        <w:rPr>
          <w:rFonts w:ascii="Arial" w:cs="Arial" w:eastAsia="Arial" w:hAnsi="Arial"/>
          <w:sz w:val="22"/>
          <w:szCs w:val="22"/>
        </w:rPr>
        <w:t xml:space="preserve"> — 2025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Principal, AI Transformation | Enso Labs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 | 2020 —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Operate an AI transformation and agentic systems studio delivering production Claude-based solutions for Fortune 500 clients. Architect end-to-end AI systems from pilot through production deployment.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Architected financial AI trading terminal on Claude + MCP, delivering real-time market intelligence agents to production (ensolabs.ai/work/trading-terminal)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75% pilot-to-production conversion rate</w:t>
      </w:r>
      <w:r>
        <w:rPr>
          <w:rFonts w:ascii="Arial" w:cs="Arial" w:eastAsia="Arial" w:hAnsi="Arial"/>
          <w:sz w:val="22"/>
          <w:szCs w:val="22"/>
        </w:rPr>
        <w:t xml:space="preserve"> across enterprise AI engagements,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3-month average time-to-first-value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AI market intelligence pipeline processing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731 documents</w:t>
      </w:r>
      <w:r>
        <w:rPr>
          <w:rFonts w:ascii="Arial" w:cs="Arial" w:eastAsia="Arial" w:hAnsi="Arial"/>
          <w:sz w:val="22"/>
          <w:szCs w:val="22"/>
        </w:rPr>
        <w:t xml:space="preserve"> in a single run, surfacing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 novel commercial signals</w:t>
      </w:r>
      <w:r>
        <w:rPr>
          <w:rFonts w:ascii="Arial" w:cs="Arial" w:eastAsia="Arial" w:hAnsi="Arial"/>
          <w:sz w:val="22"/>
          <w:szCs w:val="22"/>
        </w:rPr>
        <w:t xml:space="preserve"> validated by lead scientist for a Fortune 500 manufacturer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83% reduction in campaign launch timelines</w:t>
      </w:r>
      <w:r>
        <w:rPr>
          <w:rFonts w:ascii="Arial" w:cs="Arial" w:eastAsia="Arial" w:hAnsi="Arial"/>
          <w:sz w:val="22"/>
          <w:szCs w:val="22"/>
        </w:rPr>
        <w:t xml:space="preserve"> (3 months to 2 weeks) through agentic workflow automation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enterprise AI enablement programs generating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150%+ revenue growth</w:t>
      </w:r>
      <w:r>
        <w:rPr>
          <w:rFonts w:ascii="Arial" w:cs="Arial" w:eastAsia="Arial" w:hAnsi="Arial"/>
          <w:sz w:val="22"/>
          <w:szCs w:val="22"/>
        </w:rPr>
        <w:t xml:space="preserve"> for Fortune 500 clients (ensolabs.ai/work/enterprise-ai)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$150MM+ portfolio</w:t>
      </w:r>
      <w:r>
        <w:rPr>
          <w:rFonts w:ascii="Arial" w:cs="Arial" w:eastAsia="Arial" w:hAnsi="Arial"/>
          <w:sz w:val="22"/>
          <w:szCs w:val="22"/>
        </w:rPr>
        <w:t xml:space="preserve"> across Fortune 500 clients including Citi, JPMorgan Chase, American Express, Google, Microsoft, and Pfizer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production MCP server architecture and multi-agent orchestration systems deployed to live environments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Solutions &amp; Deployment Consultant | Heller Agency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 | 2022 —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implemented AI Center of Excellence for a pharma-focused agency, establishing governance frameworks and production AI workflows.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Architected AI Center of Excellence framework adopted across agency operations, standardizing LLM evaluation, prompt engineering, and deployment practices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35% time savings</w:t>
      </w:r>
      <w:r>
        <w:rPr>
          <w:rFonts w:ascii="Arial" w:cs="Arial" w:eastAsia="Arial" w:hAnsi="Arial"/>
          <w:sz w:val="22"/>
          <w:szCs w:val="22"/>
        </w:rPr>
        <w:t xml:space="preserve"> across pharma agency workflows through AI-augmented production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65% faster reporting</w:t>
      </w:r>
      <w:r>
        <w:rPr>
          <w:rFonts w:ascii="Arial" w:cs="Arial" w:eastAsia="Arial" w:hAnsi="Arial"/>
          <w:sz w:val="22"/>
          <w:szCs w:val="22"/>
        </w:rPr>
        <w:t xml:space="preserve"> via analytics pipeline architecture integrating AI-driven data processing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Guided Eli Lilly and Pfizer engagement teams on responsible AI deployment and regulatory compliance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Director — Strategy &amp; Intelligence | Omnicom / DDB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strategic intelligence practice across T-Mobile, Microsoft, and Johnson &amp; Johnson accounts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cross-functional teams of 15+ strategists, analysts, and technologists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data-driven planning methodologies adopted as agency standard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 — Strategy | McCann NY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Drove strategic planning for Citi, American Express, and Microsoft engagements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multi-million dollar client portfolios with C-suite stakeholder relationships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new business pitches contributing to agency revenue growth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 — Strategy | RAPP NY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CRM and data strategy for financial services and healthcare 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predictive analytics capabilities within the strategy practice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Director | VML / Y&amp;R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strategic planning across Google, JPMorgan Chase, and enterprise technology accounts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 — Digital Strategy | BBDO / Organic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digital transformation strategy for Fortune 500 clients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Director — Strategy | Rokkan / Publicis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integrated strategy practice across financial services and technology verticals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PORTFOLIO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 Labs Studio:</w:t>
      </w:r>
      <w:r>
        <w:rPr>
          <w:rFonts w:ascii="Arial" w:cs="Arial" w:eastAsia="Arial" w:hAnsi="Arial"/>
          <w:sz w:val="22"/>
          <w:szCs w:val="22"/>
        </w:rPr>
        <w:t xml:space="preserve"> ensolabs.ai — Production AI transformation practice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Financial AI on Claude + MCP:</w:t>
      </w:r>
      <w:r>
        <w:rPr>
          <w:rFonts w:ascii="Arial" w:cs="Arial" w:eastAsia="Arial" w:hAnsi="Arial"/>
          <w:sz w:val="22"/>
          <w:szCs w:val="22"/>
        </w:rPr>
        <w:t xml:space="preserve"> ensolabs.ai/work/trading-terminal — Live trading intelligence system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Enterprise AI Enablement:</w:t>
      </w:r>
      <w:r>
        <w:rPr>
          <w:rFonts w:ascii="Arial" w:cs="Arial" w:eastAsia="Arial" w:hAnsi="Arial"/>
          <w:sz w:val="22"/>
          <w:szCs w:val="22"/>
        </w:rPr>
        <w:t xml:space="preserve"> ensolabs.ai/work/enterprise-ai — Fortune 500 deployment methodology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GitHub:</w:t>
      </w:r>
      <w:r>
        <w:rPr>
          <w:rFonts w:ascii="Arial" w:cs="Arial" w:eastAsia="Arial" w:hAnsi="Arial"/>
          <w:sz w:val="22"/>
          <w:szCs w:val="22"/>
        </w:rPr>
        <w:t xml:space="preserve"> github.com/nycsav — Open-source projects and builder portfolio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B.A. Advertising</w:t>
      </w:r>
      <w:r>
        <w:rPr>
          <w:rFonts w:ascii="Arial" w:cs="Arial" w:eastAsia="Arial" w:hAnsi="Arial"/>
          <w:sz w:val="22"/>
          <w:szCs w:val="22"/>
        </w:rPr>
        <w:t xml:space="preserve"> — University of Oregon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2026-05-11T14:14:33.659Z</dcterms:created>
  <dcterms:modified xsi:type="dcterms:W3CDTF">2026-05-11T14:14:33.659Z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