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Sav Banerjee — Cover Letter</w:t>
      </w:r>
    </w:p>
    <w:p>
      <w:pPr>
        <w:pBdr>
          <w:bottom w:val="single" w:color="cccccc" w:sz="1" w:space="4"/>
        </w:pBdr>
        <w:spacing w:after="120" w:before="240"/>
      </w:pPr>
      <w:r>
        <w:rPr>
          <w:rFonts w:ascii="Arial" w:cs="Arial" w:eastAsia="Arial" w:hAnsi="Arial"/>
          <w:b/>
          <w:bCs/>
          <w:color w:val="1a1a1a"/>
          <w:sz w:val="24"/>
          <w:szCs w:val="24"/>
        </w:rPr>
        <w:t xml:space="preserve">Director of Product Management, AI Applications — Google DeepMind</w:t>
      </w:r>
    </w:p>
    <w:p>
      <w:pPr>
        <w:spacing w:after="60" w:before="60"/>
      </w:pPr>
      <w:r>
        <w:rPr>
          <w:rFonts w:ascii="Arial" w:cs="Arial" w:eastAsia="Arial" w:hAnsi="Arial"/>
          <w:sz w:val="22"/>
          <w:szCs w:val="22"/>
        </w:rPr>
        <w:t xml:space="preserve">Sav Banerjee | New York, NY | 415-828-5282 | sav@ensopartners.co | ensolabs.ai | linkedin.com/in/savbanerjee</w:t>
      </w:r>
    </w:p>
    <w:p>
      <w:pPr>
        <w:spacing w:after="60" w:before="60"/>
      </w:pPr>
      <w:r>
        <w:rPr>
          <w:rFonts w:ascii="Arial" w:cs="Arial" w:eastAsia="Arial" w:hAnsi="Arial"/>
          <w:sz w:val="22"/>
          <w:szCs w:val="22"/>
        </w:rPr>
        <w:t xml:space="preserve">Dear AI Applications Team,</w:t>
      </w:r>
    </w:p>
    <w:p>
      <w:pPr>
        <w:spacing w:after="60" w:before="60"/>
      </w:pPr>
      <w:r>
        <w:rPr>
          <w:rFonts w:ascii="Arial" w:cs="Arial" w:eastAsia="Arial" w:hAnsi="Arial"/>
          <w:sz w:val="22"/>
          <w:szCs w:val="22"/>
        </w:rPr>
        <w:t xml:space="preserve">The hardest problem in enterprise AI is not building the model — it's getting organizations to actually use it. I've spent 15 years solving that problem. At Enso Labs, I've guided Fortune 500 clients including Google, Citi, Pfizer, and Microsoft from AI ambition to production-grade systems, maintaining a 75% pilot-to-production conversion rate and a 3-month average time-to-first-value across every engagement. That track record exists because I understand something most AI product leaders don't: adoption is a design problem, not a technology problem.</w:t>
      </w:r>
    </w:p>
    <w:p>
      <w:pPr>
        <w:spacing w:after="60" w:before="60"/>
      </w:pPr>
      <w:r>
        <w:rPr>
          <w:rFonts w:ascii="Arial" w:cs="Arial" w:eastAsia="Arial" w:hAnsi="Arial"/>
          <w:sz w:val="22"/>
          <w:szCs w:val="22"/>
        </w:rPr>
        <w:t xml:space="preserve">My approach to AI applications is rooted in measurable user impact. At Heller Agency, I built an AI Center of Excellence for pharma that reduced campaign launch timelines by 83% — from three months to two weeks — and delivered 35% time savings across agency workflows. These weren't incremental improvements powered by a chatbot wrapper; they required rethinking how teams interact with AI-powered tools, redesigning workflows around new capabilities, and building trust through transparent, explainable outputs. For a Fortune 500 manufacturer, I architected an intelligence pipeline that processed 731 documents and surfaced 16 novel commercial signals — translating raw AI capability into a product that domain experts could immediately act on.</w:t>
      </w:r>
    </w:p>
    <w:p>
      <w:pPr>
        <w:spacing w:after="60" w:before="60"/>
      </w:pPr>
      <w:r>
        <w:rPr>
          <w:rFonts w:ascii="Arial" w:cs="Arial" w:eastAsia="Arial" w:hAnsi="Arial"/>
          <w:sz w:val="22"/>
          <w:szCs w:val="22"/>
        </w:rPr>
        <w:t xml:space="preserve">What excites me about this role is the scale at which DeepMind's AI applications reach users. I've built for enterprise audiences where a single deployment touches thousands of knowledge workers, but Gemini-powered applications operate at consumer and developer scale simultaneously. My background spans both the technical — I hold the Google Gemini Professional Certificate and Claude Certified Architect credentials, and I've built production agentic systems from scratch — and the strategic, with $150MM+ in managed portfolio across the exact verticals where AI applications have the most friction and the most upside.</w:t>
      </w:r>
    </w:p>
    <w:p>
      <w:pPr>
        <w:spacing w:after="60" w:before="60"/>
      </w:pPr>
      <w:r>
        <w:rPr>
          <w:rFonts w:ascii="Arial" w:cs="Arial" w:eastAsia="Arial" w:hAnsi="Arial"/>
          <w:sz w:val="22"/>
          <w:szCs w:val="22"/>
        </w:rPr>
        <w:t xml:space="preserve">I'd welcome the opportunity to discuss how my enterprise AI adoption experience and production building background can contribute to DeepMind's AI applications roadmap. Available for a conversation at your convenience.</w:t>
      </w:r>
    </w:p>
    <w:p>
      <w:pPr>
        <w:spacing w:after="60" w:before="60"/>
      </w:pPr>
      <w:r>
        <w:rPr>
          <w:rFonts w:ascii="Arial" w:cs="Arial" w:eastAsia="Arial" w:hAnsi="Arial"/>
          <w:sz w:val="22"/>
          <w:szCs w:val="22"/>
        </w:rPr>
        <w:t xml:space="preserve">Sav Banerjee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2026-05-11T14:14:33.711Z</dcterms:created>
  <dcterms:modified xsi:type="dcterms:W3CDTF">2026-05-11T14:14:33.711Z</dcterms:modified>
</cp:coreProperties>
</file>

<file path=docProps/custom.xml><?xml version="1.0" encoding="utf-8"?>
<Properties xmlns="http://schemas.openxmlformats.org/officeDocument/2006/custom-properties" xmlns:vt="http://schemas.openxmlformats.org/officeDocument/2006/docPropsVTypes"/>
</file>