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w:t>
      </w:r>
    </w:p>
    <w:p>
      <w:pPr>
        <w:spacing w:after="60" w:before="60"/>
      </w:pPr>
      <w:r>
        <w:rPr>
          <w:rFonts w:ascii="Arial" w:cs="Arial" w:eastAsia="Arial" w:hAnsi="Arial"/>
          <w:sz w:val="22"/>
          <w:szCs w:val="22"/>
        </w:rPr>
        <w:t xml:space="preserve">sav@ensopartners.co | 415-828-5282 | linkedin.com/in/savbanerjee | ensolabs.ai</w:t>
      </w:r>
    </w:p>
    <w:p>
      <w:pPr>
        <w:spacing w:after="60" w:before="60"/>
      </w:pPr>
      <w:r>
        <w:rPr>
          <w:rFonts w:ascii="Arial" w:cs="Arial" w:eastAsia="Arial" w:hAnsi="Arial"/>
          <w:b/>
          <w:bCs/>
          <w:sz w:val="22"/>
          <w:szCs w:val="22"/>
        </w:rPr>
        <w:t xml:space="preserve">Re: Head of AI Executive Partnership — OpenAI</w:t>
      </w:r>
    </w:p>
    <w:p>
      <w:pPr>
        <w:spacing w:after="60" w:before="60"/>
      </w:pPr>
      <w:r>
        <w:rPr>
          <w:rFonts w:ascii="Arial" w:cs="Arial" w:eastAsia="Arial" w:hAnsi="Arial"/>
          <w:sz w:val="22"/>
          <w:szCs w:val="22"/>
        </w:rPr>
        <w:t xml:space="preserve">OpenAI is building the most consequential technology of our generation. The next unlock isn't model capability — it's enterprise adoption. Getting Fortune 500 executives from "interesting demo" to "production system that changes how we operate." That's the gap this role fills. It's also exactly what I've spent the last five years doing.</w:t>
      </w:r>
    </w:p>
    <w:p>
      <w:pPr>
        <w:spacing w:after="60" w:before="60"/>
      </w:pPr>
      <w:r>
        <w:rPr>
          <w:rFonts w:ascii="Arial" w:cs="Arial" w:eastAsia="Arial" w:hAnsi="Arial"/>
          <w:sz w:val="22"/>
          <w:szCs w:val="22"/>
        </w:rPr>
        <w:t xml:space="preserve">I run Enso Labs, an AI transformation studio that guides C-suite leaders through enterprise AI adoption — from initial strategy through production deployment. Not pitch decks. Not proof-of-concept theater. Production systems that drive measurable business outcomes. My clients include Citi, JPMorgan Chase, American Express, Google, Microsoft, Pfizer, and Eli Lilly. The portfolio sits at $150MM+ under management.</w:t>
      </w:r>
    </w:p>
    <w:p>
      <w:pPr>
        <w:spacing w:after="60" w:before="60"/>
      </w:pPr>
      <w:r>
        <w:rPr>
          <w:rFonts w:ascii="Arial" w:cs="Arial" w:eastAsia="Arial" w:hAnsi="Arial"/>
          <w:sz w:val="22"/>
          <w:szCs w:val="22"/>
        </w:rPr>
        <w:t xml:space="preserve">The metric I'm most proud of: </w:t>
      </w:r>
      <w:r>
        <w:rPr>
          <w:rFonts w:ascii="Arial" w:cs="Arial" w:eastAsia="Arial" w:hAnsi="Arial"/>
          <w:b/>
          <w:bCs/>
          <w:sz w:val="22"/>
          <w:szCs w:val="22"/>
        </w:rPr>
        <w:t xml:space="preserve">75% pilot-to-production conversion</w:t>
      </w:r>
      <w:r>
        <w:rPr>
          <w:rFonts w:ascii="Arial" w:cs="Arial" w:eastAsia="Arial" w:hAnsi="Arial"/>
          <w:sz w:val="22"/>
          <w:szCs w:val="22"/>
        </w:rPr>
        <w:t xml:space="preserve">. Most enterprise AI initiatives stall after the demo. Mine don't, because I've built a methodology specifically designed to move organizations past the adoption gap — aligning executive stakeholders, establishing governance frameworks, and delivering time-to-first-value in 3 months on average.</w:t>
      </w:r>
    </w:p>
    <w:p>
      <w:pPr>
        <w:spacing w:after="60" w:before="60"/>
      </w:pPr>
      <w:r>
        <w:rPr>
          <w:rFonts w:ascii="Arial" w:cs="Arial" w:eastAsia="Arial" w:hAnsi="Arial"/>
          <w:sz w:val="22"/>
          <w:szCs w:val="22"/>
        </w:rPr>
        <w:t xml:space="preserve">Three things make my background directly relevant to what OpenAI needs:</w:t>
      </w:r>
    </w:p>
    <w:p>
      <w:pPr>
        <w:spacing w:after="60" w:before="60"/>
      </w:pPr>
      <w:r>
        <w:rPr>
          <w:rFonts w:ascii="Arial" w:cs="Arial" w:eastAsia="Arial" w:hAnsi="Arial"/>
          <w:b/>
          <w:bCs/>
          <w:sz w:val="22"/>
          <w:szCs w:val="22"/>
        </w:rPr>
        <w:t xml:space="preserve">I've done this at scale, across industries.</w:t>
      </w:r>
      <w:r>
        <w:rPr>
          <w:rFonts w:ascii="Arial" w:cs="Arial" w:eastAsia="Arial" w:hAnsi="Arial"/>
          <w:sz w:val="22"/>
          <w:szCs w:val="22"/>
        </w:rPr>
        <w:t xml:space="preserve"> At Enso Labs and across 15 years at McCann, RAPP, DDB, and other major agencies, I've managed executive-level relationships with the world's largest companies. I know how enterprise buying decisions get made, how transformation programs get funded, and how to keep C-suite sponsors engaged through the messy middle of implementation.</w:t>
      </w:r>
    </w:p>
    <w:p>
      <w:pPr>
        <w:spacing w:after="60" w:before="60"/>
      </w:pPr>
      <w:r>
        <w:rPr>
          <w:rFonts w:ascii="Arial" w:cs="Arial" w:eastAsia="Arial" w:hAnsi="Arial"/>
          <w:b/>
          <w:bCs/>
          <w:sz w:val="22"/>
          <w:szCs w:val="22"/>
        </w:rPr>
        <w:t xml:space="preserve">I build, not just advise.</w:t>
      </w:r>
      <w:r>
        <w:rPr>
          <w:rFonts w:ascii="Arial" w:cs="Arial" w:eastAsia="Arial" w:hAnsi="Arial"/>
          <w:sz w:val="22"/>
          <w:szCs w:val="22"/>
        </w:rPr>
        <w:t xml:space="preserve"> I designed an AI Center of Excellence for a healthcare agency that delivered 35% workflow time savings. I built a market intelligence pipeline that processed 731 documents and surfaced 16 novel commercial signals. I reduced campaign launch timelines by 83%. When I sit across from a CTO or Chief Digital Officer, I speak from direct production experience — not borrowed case studies.</w:t>
      </w:r>
    </w:p>
    <w:p>
      <w:pPr>
        <w:spacing w:after="60" w:before="60"/>
      </w:pPr>
      <w:r>
        <w:rPr>
          <w:rFonts w:ascii="Arial" w:cs="Arial" w:eastAsia="Arial" w:hAnsi="Arial"/>
          <w:b/>
          <w:bCs/>
          <w:sz w:val="22"/>
          <w:szCs w:val="22"/>
        </w:rPr>
        <w:t xml:space="preserve">I'm platform-certified and platform-agnostic.</w:t>
      </w:r>
      <w:r>
        <w:rPr>
          <w:rFonts w:ascii="Arial" w:cs="Arial" w:eastAsia="Arial" w:hAnsi="Arial"/>
          <w:sz w:val="22"/>
          <w:szCs w:val="22"/>
        </w:rPr>
        <w:t xml:space="preserve"> I hold certifications from Anthropic (Claude Certified Architect), Google (Gemini Professional), and have deep OpenAI platform expertise. Enterprise clients trust advisors who understand the full landscape. I'd bring that credibility to OpenAI while going all-in on your stack.</w:t>
      </w:r>
    </w:p>
    <w:p>
      <w:pPr>
        <w:spacing w:after="60" w:before="60"/>
      </w:pPr>
      <w:r>
        <w:rPr>
          <w:rFonts w:ascii="Arial" w:cs="Arial" w:eastAsia="Arial" w:hAnsi="Arial"/>
          <w:sz w:val="22"/>
          <w:szCs w:val="22"/>
        </w:rPr>
        <w:t xml:space="preserve">OpenAI's enterprise push — ChatGPT Enterprise, the API partnerships, the expanding go-to-market motion — needs people who can translate model capability into executive confidence and organizational change. That's the work. I've been doing it every day.</w:t>
      </w:r>
    </w:p>
    <w:p>
      <w:pPr>
        <w:spacing w:after="60" w:before="60"/>
      </w:pPr>
      <w:r>
        <w:rPr>
          <w:rFonts w:ascii="Arial" w:cs="Arial" w:eastAsia="Arial" w:hAnsi="Arial"/>
          <w:sz w:val="22"/>
          <w:szCs w:val="22"/>
        </w:rPr>
        <w:t xml:space="preserve">I'd welcome the chance to walk through my methodology and client results. The case studies at ensolabs.ai/work show the approach in detail.</w:t>
      </w:r>
    </w:p>
    <w:p>
      <w:pPr>
        <w:spacing w:after="60" w:before="60"/>
      </w:pPr>
      <w:r>
        <w:rPr>
          <w:rFonts w:ascii="Arial" w:cs="Arial" w:eastAsia="Arial" w:hAnsi="Arial"/>
          <w:sz w:val="22"/>
          <w:szCs w:val="22"/>
        </w:rPr>
        <w:t xml:space="preserve">Based in New York and open to relocation to San Francisco for the right opportunity — and this is the right opportunity.</w:t>
      </w:r>
    </w:p>
    <w:p>
      <w:pPr>
        <w:spacing w:after="60" w:before="60"/>
      </w:pPr>
      <w:r>
        <w:rPr>
          <w:rFonts w:ascii="Arial" w:cs="Arial" w:eastAsia="Arial" w:hAnsi="Arial"/>
          <w:b/>
          <w:bCs/>
          <w:sz w:val="22"/>
          <w:szCs w:val="22"/>
        </w:rPr>
        <w:t xml:space="preserve">Sav Banerjee</w:t>
      </w:r>
    </w:p>
    <w:p>
      <w:pPr>
        <w:spacing w:after="60" w:before="60"/>
      </w:pPr>
      <w:r>
        <w:rPr>
          <w:rFonts w:ascii="Arial" w:cs="Arial" w:eastAsia="Arial" w:hAnsi="Arial"/>
          <w:sz w:val="22"/>
          <w:szCs w:val="22"/>
        </w:rPr>
        <w:t xml:space="preserve">Founder &amp; Principal — Enso Labs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2026-05-11T14:14:33.761Z</dcterms:created>
  <dcterms:modified xsi:type="dcterms:W3CDTF">2026-05-11T14:14:33.761Z</dcterms:modified>
</cp:coreProperties>
</file>

<file path=docProps/custom.xml><?xml version="1.0" encoding="utf-8"?>
<Properties xmlns="http://schemas.openxmlformats.org/officeDocument/2006/custom-properties" xmlns:vt="http://schemas.openxmlformats.org/officeDocument/2006/docPropsVTypes"/>
</file>