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Sav Banerjee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York, NY | 415-828-5282 | sav@ensopartners.co | linkedin.com/in/savbanerjee | ensolabs.ai | github.com/nycsav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Enterprise AI transformation leader with 15+ years building and scaling Fortune 500 partnerships across technology, healthcare, and financial services. Managed $150MM+ in client portfolios at McCann, RAPP, Omnicom, and Publicis — then founded an AI studio to bring those same relationships into production-grade AI systems. Track record of 75% pilot-to-production conversion and 150%+ revenue growth for enterprise clients including Citi, JPMorgan, Google, Microsoft, and Pfizer.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Core Competencies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Partnership &amp; GTM:</w:t>
      </w:r>
      <w:r>
        <w:rPr>
          <w:rFonts w:ascii="Arial" w:cs="Arial" w:eastAsia="Arial" w:hAnsi="Arial"/>
          <w:sz w:val="22"/>
          <w:szCs w:val="22"/>
        </w:rPr>
        <w:t xml:space="preserve"> Enterprise Sales Strategy | C-Suite Relationship Management | Strategic Alliances | Revenue Growth | Cross-Functional GTM | Account Expansion | Contract Negotiation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&amp; Technology:</w:t>
      </w:r>
      <w:r>
        <w:rPr>
          <w:rFonts w:ascii="Arial" w:cs="Arial" w:eastAsia="Arial" w:hAnsi="Arial"/>
          <w:sz w:val="22"/>
          <w:szCs w:val="22"/>
        </w:rPr>
        <w:t xml:space="preserve"> Agentic Systems Architecture | Claude / GPT / Gemini Platforms | Multi-Agent Orchestration | MCP Architecture | Financial AI | Production AI Deployment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Verticals:</w:t>
      </w:r>
      <w:r>
        <w:rPr>
          <w:rFonts w:ascii="Arial" w:cs="Arial" w:eastAsia="Arial" w:hAnsi="Arial"/>
          <w:sz w:val="22"/>
          <w:szCs w:val="22"/>
        </w:rPr>
        <w:t xml:space="preserve"> Financial Services | Healthcare / Pharma | B2B Technology | Media &amp; Advertising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Certifications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Claude Certified Architect (CCA) — Anthropic, 2026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Google Gemini Professional Certificate — 2026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Perplexity AI Business Fellowship Winner — 2025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CrewAI Multi-Agent Systems — 2025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Google AI Essentials — 2025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Professional Experience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Founder &amp; Principal, AI Transformation — Enso Labs | 2020 – Present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Principal-led AI studio serving Fortune 500 clients across Healthcare, Finance, and B2B Technology. Direct enterprise partnerships from discovery through production deployment.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Managed $150MM+ portfolio across enterprise clients including Citi, JPMorgan, Google, Microsoft, Pfizer, and Goldman Sachs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Delivered 150%+ revenue growth for Fortune 500 client engagements through strategic AI transformation programs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Achieved 75% pilot-to-production conversion rate — well above industry average — by aligning technical delivery with business outcomes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Maintained 3-month average time-to-first-value across all enterprise engagements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autonomous financial AI agents on Claude + MCP architecture ahead of Anthropic's financial services launch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Consultant — Heller Agency | 2022 – Present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Established AI Center of Excellence for a mid-market healthcare/pharma agency. Designed and deployed AI systems across strategic planning, content operations, and analytics.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Drove 35% time savings across pharma agency workflows through AI-powered automation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Reduced campaign launch timelines by 83% (3 months to 2 weeks) via agentic content systems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Architected analytics pipeline delivering 65% faster reporting for client performance reviews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Director, Strategy — Omnicom / DDB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enterprise strategy engagements and managed multi-million dollar client relationships across technology and consumer verticals. Oversaw cross-functional teams of 15+ strategists.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VP, Strategy — McCann 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Directed brand and business strategy for global Fortune 500 accounts. Built C-suite relationships and led new business development generating significant revenue growth.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VP, Strategy — RAPP 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data-driven strategy practice for CRM, loyalty, and performance marketing engagements. Managed enterprise client portfolios with focus on measurable business outcomes.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Planning Director — VML / Y&amp;R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Developed integrated strategies for enterprise clients spanning digital, social, and traditional channels.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Director, Digital Strategy — BBDO / Organic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digital transformation strategies for major brand accounts within the Omnicom network.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Executive Director, Strategy — Rokkan / Publicis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Founded and led the strategy practice at a Publicis digital agency. Built the department from zero, hiring and managing a team that delivered award-winning work.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Portfolio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ensolabs.ai</w:t>
      </w:r>
      <w:r>
        <w:rPr>
          <w:rFonts w:ascii="Arial" w:cs="Arial" w:eastAsia="Arial" w:hAnsi="Arial"/>
          <w:sz w:val="22"/>
          <w:szCs w:val="22"/>
        </w:rPr>
        <w:t xml:space="preserve"> — AI transformation studio and case studies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ensolabs.ai/work/trading-terminal</w:t>
      </w:r>
      <w:r>
        <w:rPr>
          <w:rFonts w:ascii="Arial" w:cs="Arial" w:eastAsia="Arial" w:hAnsi="Arial"/>
          <w:sz w:val="22"/>
          <w:szCs w:val="22"/>
        </w:rPr>
        <w:t xml:space="preserve"> — Autonomous financial AI trading agents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ensolabs.ai/work/enterprise-ai</w:t>
      </w:r>
      <w:r>
        <w:rPr>
          <w:rFonts w:ascii="Arial" w:cs="Arial" w:eastAsia="Arial" w:hAnsi="Arial"/>
          <w:sz w:val="22"/>
          <w:szCs w:val="22"/>
        </w:rPr>
        <w:t xml:space="preserve"> — Enterprise AI enablement case study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signals.ensolabs.ai</w:t>
      </w:r>
      <w:r>
        <w:rPr>
          <w:rFonts w:ascii="Arial" w:cs="Arial" w:eastAsia="Arial" w:hAnsi="Arial"/>
          <w:sz w:val="22"/>
          <w:szCs w:val="22"/>
        </w:rPr>
        <w:t xml:space="preserve"> — AI-powered content intelligence engine (signal2noise)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github.com/nycsav</w:t>
      </w:r>
      <w:r>
        <w:rPr>
          <w:rFonts w:ascii="Arial" w:cs="Arial" w:eastAsia="Arial" w:hAnsi="Arial"/>
          <w:sz w:val="22"/>
          <w:szCs w:val="22"/>
        </w:rPr>
        <w:t xml:space="preserve"> — Open source and production AI systems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Education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B.A. Advertising</w:t>
      </w:r>
      <w:r>
        <w:rPr>
          <w:rFonts w:ascii="Arial" w:cs="Arial" w:eastAsia="Arial" w:hAnsi="Arial"/>
          <w:sz w:val="22"/>
          <w:szCs w:val="22"/>
        </w:rPr>
        <w:t xml:space="preserve"> — University of Oregon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2026-05-11T14:14:33.771Z</dcterms:created>
  <dcterms:modified xsi:type="dcterms:W3CDTF">2026-05-11T14:14:33.771Z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