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SAV BANERJEE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</w:t>
      </w:r>
      <w:r>
        <w:rPr>
          <w:rFonts w:ascii="Arial" w:cs="Arial" w:eastAsia="Arial" w:hAnsi="Arial"/>
          <w:sz w:val="22"/>
          <w:szCs w:val="22"/>
        </w:rPr>
        <w:t xml:space="preserve"> | sav@ensopartners.co | 415-828-5282 | linkedin.com/in/savbanerjee | ensolabs.ai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Enterprise AI transformation leader with 15+ years guiding C-suite executives through technology adoption across Fortune 500 organizations. Founder of an AI studio that builds production agentic systems — not strategy decks. Manage a $150MM+ client portfolio spanning financial services, healthcare, CPG, and technology. Track record of 75% pilot-to-production conversion and 3-month average time-to-first-value. Certified across Anthropic, Google, and OpenAI platforms.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CORE COMPETENCIES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Enterprise AI Transformation | C-Suite Advisory | AI Adoption Strategy | Change Management | Pilot-to-Production Strategy | Value Realization Frameworks | Business Case &amp; ROI Modeling | Executive Stakeholder Engagement | AI Center of Excellence Design | Multi-Platform AI Expertise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PROFESSIONAL EXPERIENCE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Founder &amp; Principal, AI Transformation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Enso Labs</w:t>
      </w:r>
      <w:r>
        <w:rPr>
          <w:rFonts w:ascii="Arial" w:cs="Arial" w:eastAsia="Arial" w:hAnsi="Arial"/>
          <w:sz w:val="22"/>
          <w:szCs w:val="22"/>
        </w:rPr>
        <w:t xml:space="preserve"> | New York, NY | 2020 – Present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transformation and agentic systems studio advising Fortune 500 leadership on AI strategy, implementation, and production deployment.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Advise C-suite executives at Fortune 500 companies on enterprise AI adoption strategy, organizational readiness, and change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 75% pilot-to-production conversion rate across client engagements — moving organizations past demos to measurable business outcomes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 3-month average time-to-first-value through structured transformation methodology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 $150MM+ portfolio across clients including Citi, JPMorgan Chase, American Express, Google, Microsoft, T-Mobile, Pfizer, and Eli Lilly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AI market intelligence platform processing 731 documents in a single pipeline, surfacing 16 novel commercial signals validated by lead scientist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Reduced campaign launch timelines by 83% (3 months to 2 weeks) through AI workflow automation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Designed and deployed analytics pipeline architecture delivering 65% faster reporting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Developed signal2noise, a proprietary content intelligence engine powering daily AI market analysis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Solutions &amp; Deployment Consultant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Heller Agency</w:t>
      </w:r>
      <w:r>
        <w:rPr>
          <w:rFonts w:ascii="Arial" w:cs="Arial" w:eastAsia="Arial" w:hAnsi="Arial"/>
          <w:sz w:val="22"/>
          <w:szCs w:val="22"/>
        </w:rPr>
        <w:t xml:space="preserve"> | 2022 – Present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Strategic AI advisor to healthcare and pharmaceutical agency leadership, designing enterprise-wide AI adoption frameworks.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Designed AI Center of Excellence for pharma agency, establishing governance frameworks, use case prioritization, and deployment roadmaps for executive leadership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Delivered 35% time savings across agency workflows through targeted AI tool deployment and process reengineering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executive stakeholder alignment sessions translating technical capabilities into business value for C-suite decision-makers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Drove 150%+ revenue growth through AI-enabled service expansion and operational efficiency gains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Vice President, Strategy &amp; Growth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McCann NY (IPG)</w:t>
      </w:r>
      <w:r>
        <w:rPr>
          <w:rFonts w:ascii="Arial" w:cs="Arial" w:eastAsia="Arial" w:hAnsi="Arial"/>
          <w:sz w:val="22"/>
          <w:szCs w:val="22"/>
        </w:rPr>
        <w:t xml:space="preserve"> | New York, NY | 2018 – 2020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cross-functional strategy teams managing enterprise client relationships at the executive level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Directed business transformation initiatives across Fortune 500 accounts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Vice President, Strategy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RAPP NY (Omnicom)</w:t>
      </w:r>
      <w:r>
        <w:rPr>
          <w:rFonts w:ascii="Arial" w:cs="Arial" w:eastAsia="Arial" w:hAnsi="Arial"/>
          <w:sz w:val="22"/>
          <w:szCs w:val="22"/>
        </w:rPr>
        <w:t xml:space="preserve"> | New York, NY | 2016 – 2018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Managed executive-level client partnerships across financial services and technology portfolios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Developed data-driven growth strategies for enterprise clients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Director, Strategy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DDB NY (Omnicom)</w:t>
      </w:r>
      <w:r>
        <w:rPr>
          <w:rFonts w:ascii="Arial" w:cs="Arial" w:eastAsia="Arial" w:hAnsi="Arial"/>
          <w:sz w:val="22"/>
          <w:szCs w:val="22"/>
        </w:rPr>
        <w:t xml:space="preserve"> | New York, NY | 2014 – 2016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strategic planning for enterprise accounts, partnering directly with C-suite stakeholders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and managed cross-disciplinary teams delivering integrated business solutions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Planning Director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VML/Y&amp;R (WPP)</w:t>
      </w:r>
      <w:r>
        <w:rPr>
          <w:rFonts w:ascii="Arial" w:cs="Arial" w:eastAsia="Arial" w:hAnsi="Arial"/>
          <w:sz w:val="22"/>
          <w:szCs w:val="22"/>
        </w:rPr>
        <w:t xml:space="preserve"> | New York, NY | 2012 – 2014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Directed strategic planning for major enterprise accounts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Managed executive client relationships across technology and financial services sectors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Director, Strategy &amp; Analytics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BBDO/Organic (Omnicom)</w:t>
      </w:r>
      <w:r>
        <w:rPr>
          <w:rFonts w:ascii="Arial" w:cs="Arial" w:eastAsia="Arial" w:hAnsi="Arial"/>
          <w:sz w:val="22"/>
          <w:szCs w:val="22"/>
        </w:rPr>
        <w:t xml:space="preserve"> | New York, NY | 2010 – 2012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strategy and analytics practice for digital transformation engagements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analytical frameworks driving measurable business outcomes for enterprise clients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Executive Director, Strategy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Rokkan/Publicis</w:t>
      </w:r>
      <w:r>
        <w:rPr>
          <w:rFonts w:ascii="Arial" w:cs="Arial" w:eastAsia="Arial" w:hAnsi="Arial"/>
          <w:sz w:val="22"/>
          <w:szCs w:val="22"/>
        </w:rPr>
        <w:t xml:space="preserve"> | New York, NY | 2008 – 2010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Directed strategic consulting practice for emerging technology and digital transformation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Managed P&amp;L and client relationships at the executive level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EDUCATION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Arts, Advertising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University of Oregon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CERTIFICATIONS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Certified Architect (CCA)</w:t>
      </w:r>
      <w:r>
        <w:rPr>
          <w:rFonts w:ascii="Arial" w:cs="Arial" w:eastAsia="Arial" w:hAnsi="Arial"/>
          <w:sz w:val="22"/>
          <w:szCs w:val="22"/>
        </w:rPr>
        <w:t xml:space="preserve"> — Anthropic, 2026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Anthropic Financial Services Briefing</w:t>
      </w:r>
      <w:r>
        <w:rPr>
          <w:rFonts w:ascii="Arial" w:cs="Arial" w:eastAsia="Arial" w:hAnsi="Arial"/>
          <w:sz w:val="22"/>
          <w:szCs w:val="22"/>
        </w:rPr>
        <w:t xml:space="preserve"> — Invited Attendee, May 2026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 Gemini Professional Certificate</w:t>
      </w:r>
      <w:r>
        <w:rPr>
          <w:rFonts w:ascii="Arial" w:cs="Arial" w:eastAsia="Arial" w:hAnsi="Arial"/>
          <w:sz w:val="22"/>
          <w:szCs w:val="22"/>
        </w:rPr>
        <w:t xml:space="preserve"> — 2026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Perplexity AI Business Fellowship Winner</w:t>
      </w:r>
      <w:r>
        <w:rPr>
          <w:rFonts w:ascii="Arial" w:cs="Arial" w:eastAsia="Arial" w:hAnsi="Arial"/>
          <w:sz w:val="22"/>
          <w:szCs w:val="22"/>
        </w:rPr>
        <w:t xml:space="preserve"> — 2025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CrewAI Multi-Agent Systems</w:t>
      </w:r>
      <w:r>
        <w:rPr>
          <w:rFonts w:ascii="Arial" w:cs="Arial" w:eastAsia="Arial" w:hAnsi="Arial"/>
          <w:sz w:val="22"/>
          <w:szCs w:val="22"/>
        </w:rPr>
        <w:t xml:space="preserve"> — 2025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 AI Essentials</w:t>
      </w:r>
      <w:r>
        <w:rPr>
          <w:rFonts w:ascii="Arial" w:cs="Arial" w:eastAsia="Arial" w:hAnsi="Arial"/>
          <w:sz w:val="22"/>
          <w:szCs w:val="22"/>
        </w:rPr>
        <w:t xml:space="preserve"> — 2025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SELECT CLIENTS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W. L. Gore &amp; Associates | Citi | JPMorgan Chase | American Express | Google | Microsoft | T-Mobile | Pfizer | Eli Lilly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2026-05-11T14:14:33.786Z</dcterms:created>
  <dcterms:modified xsi:type="dcterms:W3CDTF">2026-05-11T14:14:33.786Z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