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Sav Banerjee — Cover Letter</w:t>
      </w:r>
    </w:p>
    <w:p>
      <w:pPr>
        <w:spacing w:after="60" w:before="60"/>
      </w:pPr>
      <w:r>
        <w:rPr>
          <w:rFonts w:ascii="Arial" w:cs="Arial" w:eastAsia="Arial" w:hAnsi="Arial"/>
          <w:b/>
          <w:bCs/>
          <w:sz w:val="22"/>
          <w:szCs w:val="22"/>
        </w:rPr>
        <w:t xml:space="preserve">Cuesta Partners, Senior Manager — Technology &amp; AI Consultant</w:t>
      </w:r>
    </w:p>
    <w:p>
      <w:pPr>
        <w:spacing w:after="60" w:before="60"/>
      </w:pPr>
      <w:r>
        <w:rPr>
          <w:rFonts w:ascii="Arial" w:cs="Arial" w:eastAsia="Arial" w:hAnsi="Arial"/>
          <w:sz w:val="22"/>
          <w:szCs w:val="22"/>
        </w:rPr>
        <w:t xml:space="preserve">Dear Cuesta Partners Team,</w:t>
      </w:r>
    </w:p>
    <w:p>
      <w:pPr>
        <w:spacing w:after="60" w:before="60"/>
      </w:pPr>
      <w:r>
        <w:rPr>
          <w:rFonts w:ascii="Arial" w:cs="Arial" w:eastAsia="Arial" w:hAnsi="Arial"/>
          <w:sz w:val="22"/>
          <w:szCs w:val="22"/>
        </w:rPr>
        <w:t xml:space="preserve">Most AI consultants can build a strategy deck. Most AI engineers can build a prototype. Very few can do both — and then actually get it into production inside an enterprise. I've spent 15 years at agencies like McCann, RAPP, Omnicom, and Publicis learning how to manage complex client engagements, lead teams of 15+, and deliver measurable outcomes against tight timelines. Then I spent the last five years applying that exact consulting discipline to AI transformation, achieving a 75% pilot-to-production conversion rate and 3-month average time-to-first-value for Fortune 500 clients.</w:t>
      </w:r>
    </w:p>
    <w:p>
      <w:pPr>
        <w:spacing w:after="60" w:before="60"/>
      </w:pPr>
      <w:r>
        <w:rPr>
          <w:rFonts w:ascii="Arial" w:cs="Arial" w:eastAsia="Arial" w:hAnsi="Arial"/>
          <w:sz w:val="22"/>
          <w:szCs w:val="22"/>
        </w:rPr>
        <w:t xml:space="preserve">At Enso Labs, I've managed a $150MM+ portfolio across clients including Citi, JPMorgan, Google, Microsoft, and Pfizer — running engagements end-to-end from discovery workshops through production deployment. For a healthcare agency, I stood up an AI Center of Excellence that reduced campaign launch timelines by 83% and drove 35% time savings across workflows. For a global manufacturer, I built an AI intelligence pipeline that processed 731 documents and surfaced 16 validated commercial signals the client's team had never identified. These aren't proof-of-concept demos — they're production systems with measurable business impact.</w:t>
      </w:r>
    </w:p>
    <w:p>
      <w:pPr>
        <w:spacing w:after="60" w:before="60"/>
      </w:pPr>
      <w:r>
        <w:rPr>
          <w:rFonts w:ascii="Arial" w:cs="Arial" w:eastAsia="Arial" w:hAnsi="Arial"/>
          <w:sz w:val="22"/>
          <w:szCs w:val="22"/>
        </w:rPr>
        <w:t xml:space="preserve">What makes my background relevant to Cuesta Partners specifically is the combination of structured consulting methodology and genuine technical depth. I hold the Claude Certified Architect credential, the Google Gemini Professional Certificate, and the Perplexity AI Business Fellowship. I've built production agentic systems, designed analytics pipelines that deliver 65% faster reporting, and shipped autonomous financial AI agents. When I advise enterprise clients on AI strategy, I'm drawing on direct implementation experience — not just frameworks.</w:t>
      </w:r>
    </w:p>
    <w:p>
      <w:pPr>
        <w:spacing w:after="60" w:before="60"/>
      </w:pPr>
      <w:r>
        <w:rPr>
          <w:rFonts w:ascii="Arial" w:cs="Arial" w:eastAsia="Arial" w:hAnsi="Arial"/>
          <w:sz w:val="22"/>
          <w:szCs w:val="22"/>
        </w:rPr>
        <w:t xml:space="preserve">I'd welcome the chance to discuss how my hybrid consulting and AI builder background fits Cuesta Partners' approach to technology advisory. Available to connect at your convenience.</w:t>
      </w:r>
    </w:p>
    <w:p>
      <w:pPr>
        <w:spacing w:after="60" w:before="60"/>
      </w:pPr>
      <w:r>
        <w:rPr>
          <w:rFonts w:ascii="Arial" w:cs="Arial" w:eastAsia="Arial" w:hAnsi="Arial"/>
          <w:sz w:val="22"/>
          <w:szCs w:val="22"/>
        </w:rPr>
        <w:t xml:space="preserve">Sav Banerjee</w:t>
      </w:r>
    </w:p>
    <w:p>
      <w:pPr>
        <w:spacing w:after="60" w:before="60"/>
      </w:pPr>
      <w:r>
        <w:rPr>
          <w:rFonts w:ascii="Arial" w:cs="Arial" w:eastAsia="Arial" w:hAnsi="Arial"/>
          <w:sz w:val="22"/>
          <w:szCs w:val="22"/>
        </w:rPr>
        <w:t xml:space="preserve">415-828-5282 | sav@ensopartners.co | ensolabs.ai</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2026-05-11T14:14:33.675Z</dcterms:created>
  <dcterms:modified xsi:type="dcterms:W3CDTF">2026-05-11T14:14:33.675Z</dcterms:modified>
</cp:coreProperties>
</file>

<file path=docProps/custom.xml><?xml version="1.0" encoding="utf-8"?>
<Properties xmlns="http://schemas.openxmlformats.org/officeDocument/2006/custom-properties" xmlns:vt="http://schemas.openxmlformats.org/officeDocument/2006/docPropsVTypes"/>
</file>