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Sav Banerjee — Cover Letter</w:t>
      </w:r>
    </w:p>
    <w:p>
      <w:pPr>
        <w:spacing w:after="60" w:before="60"/>
      </w:pPr>
      <w:r>
        <w:rPr>
          <w:rFonts w:ascii="Arial" w:cs="Arial" w:eastAsia="Arial" w:hAnsi="Arial"/>
          <w:b/>
          <w:bCs/>
          <w:sz w:val="22"/>
          <w:szCs w:val="22"/>
        </w:rPr>
        <w:t xml:space="preserve">OpenAI, Applied AI Solutions Lead</w:t>
      </w:r>
    </w:p>
    <w:p>
      <w:pPr>
        <w:spacing w:after="60" w:before="60"/>
      </w:pPr>
      <w:r>
        <w:rPr>
          <w:rFonts w:ascii="Arial" w:cs="Arial" w:eastAsia="Arial" w:hAnsi="Arial"/>
          <w:sz w:val="22"/>
          <w:szCs w:val="22"/>
        </w:rPr>
        <w:t xml:space="preserve">Dear Applied AI Team,</w:t>
      </w:r>
    </w:p>
    <w:p>
      <w:pPr>
        <w:spacing w:after="60" w:before="60"/>
      </w:pPr>
      <w:r>
        <w:rPr>
          <w:rFonts w:ascii="Arial" w:cs="Arial" w:eastAsia="Arial" w:hAnsi="Arial"/>
          <w:sz w:val="22"/>
          <w:szCs w:val="22"/>
        </w:rPr>
        <w:t xml:space="preserve">The gap between an impressive AI demo and a production system that actually changes how a company operates is where most implementations die. I've spent the last five years making sure they don't — delivering a 75% pilot-to-production conversion rate across Fortune 500 enterprises in healthcare, financial services, and technology. That gap is exactly the problem an Applied AI Solutions Lead needs to close, and it's the problem I've built my entire practice around solving.</w:t>
      </w:r>
    </w:p>
    <w:p>
      <w:pPr>
        <w:spacing w:after="60" w:before="60"/>
      </w:pPr>
      <w:r>
        <w:rPr>
          <w:rFonts w:ascii="Arial" w:cs="Arial" w:eastAsia="Arial" w:hAnsi="Arial"/>
          <w:sz w:val="22"/>
          <w:szCs w:val="22"/>
        </w:rPr>
        <w:t xml:space="preserve">At Enso Labs, I work directly with enterprise clients to move AI from concept to deployed, measurable systems. For a global materials manufacturer, I built an AI market intelligence pipeline that processed 731 documents and surfaced 16 novel commercial signals validated by the client's lead scientist. For a healthcare agency, I reduced campaign launch timelines by 83% — from 3 months to 2 weeks — and drove 35% time savings across their workflows by standing up an AI Center of Excellence. Across all engagements, I maintain a 3-month average time-to-first-value, because enterprises don't have patience for six-month proof-of-concept cycles that never ship.</w:t>
      </w:r>
    </w:p>
    <w:p>
      <w:pPr>
        <w:spacing w:after="60" w:before="60"/>
      </w:pPr>
      <w:r>
        <w:rPr>
          <w:rFonts w:ascii="Arial" w:cs="Arial" w:eastAsia="Arial" w:hAnsi="Arial"/>
          <w:sz w:val="22"/>
          <w:szCs w:val="22"/>
        </w:rPr>
        <w:t xml:space="preserve">What I bring that's unusual for a solutions role is the full stack: I'm a Claude Certified Architect who builds production agentic systems on MCP architecture, a Google Gemini certified professional, and a Perplexity AI Business Fellowship winner — but I'm also a former VP of Strategy at McCann and RAPP who managed $150MM+ in client portfolios and delivered 150%+ revenue growth. I can architect a multi-agent system in the morning and present the business case to a C-suite in the afternoon. That combination of builder credibility and enterprise fluency is what turns applied AI engagements into long-term platform adoption.</w:t>
      </w:r>
    </w:p>
    <w:p>
      <w:pPr>
        <w:spacing w:after="60" w:before="60"/>
      </w:pPr>
      <w:r>
        <w:rPr>
          <w:rFonts w:ascii="Arial" w:cs="Arial" w:eastAsia="Arial" w:hAnsi="Arial"/>
          <w:sz w:val="22"/>
          <w:szCs w:val="22"/>
        </w:rPr>
        <w:t xml:space="preserve">I'd welcome the opportunity to discuss how my track record of turning AI pilots into production outcomes can help OpenAI's enterprise customers realize the full value of the platform. Available to connect anytime.</w:t>
      </w:r>
    </w:p>
    <w:p>
      <w:pPr>
        <w:spacing w:after="60" w:before="60"/>
      </w:pPr>
      <w:r>
        <w:rPr>
          <w:rFonts w:ascii="Arial" w:cs="Arial" w:eastAsia="Arial" w:hAnsi="Arial"/>
          <w:sz w:val="22"/>
          <w:szCs w:val="22"/>
        </w:rPr>
        <w:t xml:space="preserve">Sav Banerjee</w:t>
      </w:r>
    </w:p>
    <w:p>
      <w:pPr>
        <w:spacing w:after="60" w:before="60"/>
      </w:pPr>
      <w:r>
        <w:rPr>
          <w:rFonts w:ascii="Arial" w:cs="Arial" w:eastAsia="Arial" w:hAnsi="Arial"/>
          <w:sz w:val="22"/>
          <w:szCs w:val="22"/>
        </w:rPr>
        <w:t xml:space="preserve">415-828-5282 | sav@ensopartners.co | ensolabs.ai</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2026-05-11T14:14:33.749Z</dcterms:created>
  <dcterms:modified xsi:type="dcterms:W3CDTF">2026-05-11T14:14:33.749Z</dcterms:modified>
</cp:coreProperties>
</file>

<file path=docProps/custom.xml><?xml version="1.0" encoding="utf-8"?>
<Properties xmlns="http://schemas.openxmlformats.org/officeDocument/2006/custom-properties" xmlns:vt="http://schemas.openxmlformats.org/officeDocument/2006/docPropsVTypes"/>
</file>