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8B4" w:rsidRDefault="004728B4" w:rsidP="004728B4">
      <w:pPr>
        <w:pStyle w:val="Heading1"/>
        <w:jc w:val="center"/>
      </w:pPr>
      <w:r>
        <w:t>Food Environment, Dietary Intake, and Cardiac Arrest Risk</w:t>
      </w:r>
    </w:p>
    <w:p w:rsidR="004728B4" w:rsidRPr="00936C93" w:rsidRDefault="004728B4" w:rsidP="004728B4">
      <w:pPr>
        <w:pStyle w:val="Heading2"/>
        <w:spacing w:before="0"/>
        <w:jc w:val="center"/>
        <w:rPr>
          <w:rStyle w:val="SubtleEmphasis"/>
          <w:b w:val="0"/>
        </w:rPr>
      </w:pPr>
      <w:r w:rsidRPr="00936C93">
        <w:rPr>
          <w:rStyle w:val="SubtleEmphasis"/>
          <w:b w:val="0"/>
        </w:rPr>
        <w:t>SER abstract and tables from Steve Mooney</w:t>
      </w:r>
    </w:p>
    <w:p w:rsidR="004728B4" w:rsidRDefault="004728B4" w:rsidP="004728B4"/>
    <w:p w:rsidR="004728B4" w:rsidRPr="004728B4" w:rsidRDefault="004728B4" w:rsidP="004728B4">
      <w:pPr>
        <w:spacing w:after="0"/>
        <w:rPr>
          <w:b/>
        </w:rPr>
      </w:pPr>
      <w:r w:rsidRPr="004728B4">
        <w:rPr>
          <w:b/>
        </w:rPr>
        <w:t>Background</w:t>
      </w:r>
    </w:p>
    <w:p w:rsidR="004728B4" w:rsidRDefault="004728B4" w:rsidP="004728B4">
      <w:r>
        <w:t>Neighborhood food environments may contribu</w:t>
      </w:r>
      <w:bookmarkStart w:id="0" w:name="_GoBack"/>
      <w:bookmarkEnd w:id="0"/>
      <w:r>
        <w:t xml:space="preserve">te to sudden cardiac arrest incidence and mortality. The neighborhood environment may limit local access to cardio-protective foods such as fish and nuts, or may facilitate local access to low-cost processed foods, including those containing cardio-harmful </w:t>
      </w:r>
      <w:r>
        <w:rPr>
          <w:i/>
        </w:rPr>
        <w:t>trans</w:t>
      </w:r>
      <w:r>
        <w:t xml:space="preserve">-fats. </w:t>
      </w:r>
    </w:p>
    <w:p w:rsidR="004728B4" w:rsidRPr="004728B4" w:rsidRDefault="004728B4" w:rsidP="004728B4">
      <w:pPr>
        <w:spacing w:after="0"/>
        <w:rPr>
          <w:b/>
        </w:rPr>
      </w:pPr>
      <w:r w:rsidRPr="004728B4">
        <w:rPr>
          <w:b/>
        </w:rPr>
        <w:t>Methods</w:t>
      </w:r>
    </w:p>
    <w:p w:rsidR="004728B4" w:rsidRDefault="004728B4" w:rsidP="004728B4">
      <w:r>
        <w:t>We linked residential addresses of subjects from the Cardiac Arrest Blood Study-Repository (CABS-R) to nearby food sources using the National Establishment Time-Series (NETS) longitudinal database of registered businesses. CABS-R is a registry of blood samples and abstracted emergency response records of sudden cardiac arrest cases and population-based controls from King County, WA. We performed three analyses of food sources within a 5km buffer of the home address: 1) in relation to case status for 899 cases and 807 controls, 2) in relation to dietary biomarkers for 1894 cases, and 3) in relation to survival after cardiac arrest for 1808 cases presenting with ventricular fibrillation.</w:t>
      </w:r>
    </w:p>
    <w:p w:rsidR="004728B4" w:rsidRPr="004728B4" w:rsidRDefault="004728B4" w:rsidP="004728B4">
      <w:pPr>
        <w:spacing w:after="0"/>
        <w:rPr>
          <w:b/>
        </w:rPr>
      </w:pPr>
      <w:r w:rsidRPr="004728B4">
        <w:rPr>
          <w:b/>
        </w:rPr>
        <w:t>Results</w:t>
      </w:r>
    </w:p>
    <w:p w:rsidR="004728B4" w:rsidRDefault="004728B4" w:rsidP="004728B4">
      <w:r>
        <w:t xml:space="preserve">Unhealthy food outlet density near the subject’s home was associated with cardiac arrest (OR: 1.79, 95% CI: 1.59, 2.03 per z-score increase). However, healthy food outlet density was similarly associated (OR: 1.75, 95% CI: 1.56, 1.98 per z-score increase). Both fish markets and overall healthy food outlets near the subjects’ home were unassociated with markers indicating fish consumption. Unhealthy food sources near the home were associated with a </w:t>
      </w:r>
      <w:r>
        <w:rPr>
          <w:i/>
        </w:rPr>
        <w:t>lower</w:t>
      </w:r>
      <w:r>
        <w:t xml:space="preserve"> proportion of fatty acids that were </w:t>
      </w:r>
      <w:r>
        <w:rPr>
          <w:i/>
        </w:rPr>
        <w:t>trans</w:t>
      </w:r>
      <w:r>
        <w:t>-fats (0.034 percent decrease per z-score increase 95% CI: 0.006, 0.062). Survival after cardiac arrest was unassociated with local food environment (OR: 1.03, 95% CI: 0.93, 1.51 per z-score increase in healthy food sources, OR: 1.02, 95% CI: 0.92, 1.14 per z-score increase in unhealthy food sources).</w:t>
      </w:r>
    </w:p>
    <w:p w:rsidR="004728B4" w:rsidRPr="004728B4" w:rsidRDefault="004728B4" w:rsidP="004728B4">
      <w:pPr>
        <w:spacing w:after="0"/>
        <w:rPr>
          <w:b/>
        </w:rPr>
      </w:pPr>
      <w:r w:rsidRPr="004728B4">
        <w:rPr>
          <w:b/>
        </w:rPr>
        <w:t>Conclusions</w:t>
      </w:r>
    </w:p>
    <w:p w:rsidR="004728B4" w:rsidRDefault="004728B4" w:rsidP="004728B4">
      <w:r>
        <w:t>We did not find support for the hypothesized effect of the food environment on case status or dietary biomarkers.</w:t>
      </w:r>
    </w:p>
    <w:p w:rsidR="004728B4" w:rsidRDefault="004728B4">
      <w:pPr>
        <w:rPr>
          <w:b/>
        </w:rPr>
      </w:pPr>
      <w:r>
        <w:rPr>
          <w:b/>
        </w:rPr>
        <w:br w:type="page"/>
      </w:r>
    </w:p>
    <w:p w:rsidR="007A048A" w:rsidRPr="00B54358" w:rsidRDefault="007A048A" w:rsidP="007A048A">
      <w:pPr>
        <w:rPr>
          <w:b/>
        </w:rPr>
      </w:pPr>
      <w:proofErr w:type="gramStart"/>
      <w:r>
        <w:rPr>
          <w:b/>
        </w:rPr>
        <w:lastRenderedPageBreak/>
        <w:t>Table 1.</w:t>
      </w:r>
      <w:proofErr w:type="gramEnd"/>
      <w:r>
        <w:rPr>
          <w:b/>
        </w:rPr>
        <w:t xml:space="preserve"> </w:t>
      </w:r>
      <w:proofErr w:type="gramStart"/>
      <w:r>
        <w:rPr>
          <w:b/>
        </w:rPr>
        <w:t>Demographic Characteristics of CABS-R subject used in various analyses.</w:t>
      </w:r>
      <w:proofErr w:type="gramEnd"/>
      <w:r w:rsidR="00D367AF">
        <w:rPr>
          <w:b/>
        </w:rPr>
        <w:t xml:space="preserve"> Table 1a</w:t>
      </w:r>
      <w:r w:rsidR="00280310">
        <w:rPr>
          <w:b/>
        </w:rPr>
        <w:t xml:space="preserve">, below, indicates which CABS variable was used for each row. </w:t>
      </w:r>
    </w:p>
    <w:tbl>
      <w:tblPr>
        <w:tblStyle w:val="LightShading"/>
        <w:tblW w:w="0" w:type="auto"/>
        <w:tblLook w:val="06A0" w:firstRow="1" w:lastRow="0" w:firstColumn="1" w:lastColumn="0" w:noHBand="1" w:noVBand="1"/>
      </w:tblPr>
      <w:tblGrid>
        <w:gridCol w:w="2448"/>
        <w:gridCol w:w="1017"/>
        <w:gridCol w:w="1850"/>
        <w:gridCol w:w="1287"/>
        <w:gridCol w:w="1429"/>
        <w:gridCol w:w="1545"/>
      </w:tblGrid>
      <w:tr w:rsidR="00406CF0" w:rsidTr="00406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7A048A" w:rsidRPr="0016355E" w:rsidRDefault="007A048A" w:rsidP="00704BF6"/>
        </w:tc>
        <w:tc>
          <w:tcPr>
            <w:tcW w:w="1017" w:type="dxa"/>
          </w:tcPr>
          <w:p w:rsidR="007A048A" w:rsidRPr="0016355E" w:rsidRDefault="007A048A" w:rsidP="00704BF6">
            <w:pPr>
              <w:cnfStyle w:val="100000000000" w:firstRow="1" w:lastRow="0" w:firstColumn="0" w:lastColumn="0" w:oddVBand="0" w:evenVBand="0" w:oddHBand="0" w:evenHBand="0" w:firstRowFirstColumn="0" w:firstRowLastColumn="0" w:lastRowFirstColumn="0" w:lastRowLastColumn="0"/>
            </w:pPr>
            <w:r w:rsidRPr="0016355E">
              <w:t>Controls</w:t>
            </w:r>
          </w:p>
        </w:tc>
        <w:tc>
          <w:tcPr>
            <w:tcW w:w="1850" w:type="dxa"/>
          </w:tcPr>
          <w:p w:rsidR="007A048A" w:rsidRPr="0016355E" w:rsidRDefault="007A048A" w:rsidP="00406CF0">
            <w:pPr>
              <w:cnfStyle w:val="100000000000" w:firstRow="1" w:lastRow="0" w:firstColumn="0" w:lastColumn="0" w:oddVBand="0" w:evenVBand="0" w:oddHBand="0" w:evenHBand="0" w:firstRowFirstColumn="0" w:firstRowLastColumn="0" w:lastRowFirstColumn="0" w:lastRowLastColumn="0"/>
            </w:pPr>
            <w:r w:rsidRPr="0016355E">
              <w:t>Comparable Cases</w:t>
            </w:r>
            <w:r w:rsidR="00406CF0" w:rsidRPr="00406CF0">
              <w:rPr>
                <w:vertAlign w:val="superscript"/>
              </w:rPr>
              <w:t>1</w:t>
            </w:r>
          </w:p>
        </w:tc>
        <w:tc>
          <w:tcPr>
            <w:tcW w:w="1287" w:type="dxa"/>
          </w:tcPr>
          <w:p w:rsidR="007A048A" w:rsidRDefault="007A048A" w:rsidP="00704BF6">
            <w:pPr>
              <w:cnfStyle w:val="100000000000" w:firstRow="1" w:lastRow="0" w:firstColumn="0" w:lastColumn="0" w:oddVBand="0" w:evenVBand="0" w:oddHBand="0" w:evenHBand="0" w:firstRowFirstColumn="0" w:firstRowLastColumn="0" w:lastRowFirstColumn="0" w:lastRowLastColumn="0"/>
            </w:pPr>
            <w:r>
              <w:t>Cases with Biomarker Data</w:t>
            </w:r>
            <w:r w:rsidR="00597DAD" w:rsidRPr="00597DAD">
              <w:rPr>
                <w:vertAlign w:val="superscript"/>
              </w:rPr>
              <w:t>2</w:t>
            </w:r>
          </w:p>
        </w:tc>
        <w:tc>
          <w:tcPr>
            <w:tcW w:w="1429" w:type="dxa"/>
          </w:tcPr>
          <w:p w:rsidR="007A048A" w:rsidRPr="0016355E" w:rsidRDefault="007A048A" w:rsidP="00704BF6">
            <w:pPr>
              <w:cnfStyle w:val="100000000000" w:firstRow="1" w:lastRow="0" w:firstColumn="0" w:lastColumn="0" w:oddVBand="0" w:evenVBand="0" w:oddHBand="0" w:evenHBand="0" w:firstRowFirstColumn="0" w:firstRowLastColumn="0" w:lastRowFirstColumn="0" w:lastRowLastColumn="0"/>
            </w:pPr>
            <w:r>
              <w:t>Cases with VF</w:t>
            </w:r>
            <w:r w:rsidR="00597DAD" w:rsidRPr="00597DAD">
              <w:rPr>
                <w:vertAlign w:val="superscript"/>
              </w:rPr>
              <w:t>3</w:t>
            </w:r>
          </w:p>
        </w:tc>
        <w:tc>
          <w:tcPr>
            <w:tcW w:w="1545" w:type="dxa"/>
          </w:tcPr>
          <w:p w:rsidR="007A048A" w:rsidRPr="0016355E" w:rsidRDefault="007A048A" w:rsidP="00406CF0">
            <w:pPr>
              <w:cnfStyle w:val="100000000000" w:firstRow="1" w:lastRow="0" w:firstColumn="0" w:lastColumn="0" w:oddVBand="0" w:evenVBand="0" w:oddHBand="0" w:evenHBand="0" w:firstRowFirstColumn="0" w:firstRowLastColumn="0" w:lastRowFirstColumn="0" w:lastRowLastColumn="0"/>
            </w:pPr>
            <w:r w:rsidRPr="0016355E">
              <w:t xml:space="preserve">All </w:t>
            </w:r>
            <w:r w:rsidR="00406CF0">
              <w:t>Cases</w:t>
            </w:r>
            <w:r w:rsidR="005A5561" w:rsidRPr="005A5561">
              <w:rPr>
                <w:vertAlign w:val="superscript"/>
              </w:rPr>
              <w:t>4</w:t>
            </w:r>
          </w:p>
        </w:tc>
      </w:tr>
      <w:tr w:rsidR="001050ED" w:rsidTr="00406CF0">
        <w:tc>
          <w:tcPr>
            <w:cnfStyle w:val="001000000000" w:firstRow="0" w:lastRow="0" w:firstColumn="1" w:lastColumn="0" w:oddVBand="0" w:evenVBand="0" w:oddHBand="0" w:evenHBand="0" w:firstRowFirstColumn="0" w:firstRowLastColumn="0" w:lastRowFirstColumn="0" w:lastRowLastColumn="0"/>
            <w:tcW w:w="2448" w:type="dxa"/>
          </w:tcPr>
          <w:p w:rsidR="001050ED" w:rsidRPr="001050ED" w:rsidRDefault="001050ED" w:rsidP="00704BF6">
            <w:pPr>
              <w:rPr>
                <w:i/>
              </w:rPr>
            </w:pPr>
            <w:r w:rsidRPr="001050ED">
              <w:rPr>
                <w:i/>
              </w:rPr>
              <w:t>Individual</w:t>
            </w:r>
          </w:p>
        </w:tc>
        <w:tc>
          <w:tcPr>
            <w:tcW w:w="1017" w:type="dxa"/>
          </w:tcPr>
          <w:p w:rsidR="001050ED" w:rsidRDefault="001050ED" w:rsidP="00704BF6">
            <w:pPr>
              <w:cnfStyle w:val="000000000000" w:firstRow="0" w:lastRow="0" w:firstColumn="0" w:lastColumn="0" w:oddVBand="0" w:evenVBand="0" w:oddHBand="0" w:evenHBand="0" w:firstRowFirstColumn="0" w:firstRowLastColumn="0" w:lastRowFirstColumn="0" w:lastRowLastColumn="0"/>
            </w:pPr>
          </w:p>
        </w:tc>
        <w:tc>
          <w:tcPr>
            <w:tcW w:w="1850" w:type="dxa"/>
          </w:tcPr>
          <w:p w:rsidR="001050ED" w:rsidRDefault="001050ED" w:rsidP="00704BF6">
            <w:pPr>
              <w:cnfStyle w:val="000000000000" w:firstRow="0" w:lastRow="0" w:firstColumn="0" w:lastColumn="0" w:oddVBand="0" w:evenVBand="0" w:oddHBand="0" w:evenHBand="0" w:firstRowFirstColumn="0" w:firstRowLastColumn="0" w:lastRowFirstColumn="0" w:lastRowLastColumn="0"/>
            </w:pPr>
          </w:p>
        </w:tc>
        <w:tc>
          <w:tcPr>
            <w:tcW w:w="1287" w:type="dxa"/>
          </w:tcPr>
          <w:p w:rsidR="001050ED" w:rsidRPr="0016355E" w:rsidRDefault="001050ED" w:rsidP="00704BF6">
            <w:pPr>
              <w:cnfStyle w:val="000000000000" w:firstRow="0" w:lastRow="0" w:firstColumn="0" w:lastColumn="0" w:oddVBand="0" w:evenVBand="0" w:oddHBand="0" w:evenHBand="0" w:firstRowFirstColumn="0" w:firstRowLastColumn="0" w:lastRowFirstColumn="0" w:lastRowLastColumn="0"/>
            </w:pPr>
          </w:p>
        </w:tc>
        <w:tc>
          <w:tcPr>
            <w:tcW w:w="1429" w:type="dxa"/>
          </w:tcPr>
          <w:p w:rsidR="001050ED" w:rsidRPr="0016355E" w:rsidRDefault="001050ED" w:rsidP="00704BF6">
            <w:pPr>
              <w:cnfStyle w:val="000000000000" w:firstRow="0" w:lastRow="0" w:firstColumn="0" w:lastColumn="0" w:oddVBand="0" w:evenVBand="0" w:oddHBand="0" w:evenHBand="0" w:firstRowFirstColumn="0" w:firstRowLastColumn="0" w:lastRowFirstColumn="0" w:lastRowLastColumn="0"/>
            </w:pPr>
          </w:p>
        </w:tc>
        <w:tc>
          <w:tcPr>
            <w:tcW w:w="1545" w:type="dxa"/>
          </w:tcPr>
          <w:p w:rsidR="001050ED" w:rsidRPr="0016355E" w:rsidRDefault="001050ED" w:rsidP="00704BF6">
            <w:pPr>
              <w:cnfStyle w:val="000000000000" w:firstRow="0" w:lastRow="0" w:firstColumn="0" w:lastColumn="0" w:oddVBand="0" w:evenVBand="0" w:oddHBand="0" w:evenHBand="0" w:firstRowFirstColumn="0" w:firstRowLastColumn="0" w:lastRowFirstColumn="0" w:lastRowLastColumn="0"/>
            </w:pP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7A048A" w:rsidRPr="001050ED" w:rsidRDefault="001050ED" w:rsidP="00903E09">
            <w:pPr>
              <w:rPr>
                <w:b w:val="0"/>
              </w:rPr>
            </w:pPr>
            <w:r>
              <w:rPr>
                <w:b w:val="0"/>
              </w:rPr>
              <w:t xml:space="preserve">First </w:t>
            </w:r>
            <w:r w:rsidR="00903E09">
              <w:rPr>
                <w:b w:val="0"/>
              </w:rPr>
              <w:t>Year Enrolled</w:t>
            </w:r>
            <w:r w:rsidR="00A7579C">
              <w:rPr>
                <w:b w:val="0"/>
              </w:rPr>
              <w:t xml:space="preserve"> </w:t>
            </w:r>
          </w:p>
        </w:tc>
        <w:tc>
          <w:tcPr>
            <w:tcW w:w="1017" w:type="dxa"/>
          </w:tcPr>
          <w:p w:rsidR="007A048A" w:rsidRPr="0016355E" w:rsidRDefault="007A048A" w:rsidP="001050ED">
            <w:pPr>
              <w:cnfStyle w:val="000000000000" w:firstRow="0" w:lastRow="0" w:firstColumn="0" w:lastColumn="0" w:oddVBand="0" w:evenVBand="0" w:oddHBand="0" w:evenHBand="0" w:firstRowFirstColumn="0" w:firstRowLastColumn="0" w:lastRowFirstColumn="0" w:lastRowLastColumn="0"/>
            </w:pPr>
            <w:r>
              <w:t>1990</w:t>
            </w:r>
          </w:p>
        </w:tc>
        <w:tc>
          <w:tcPr>
            <w:tcW w:w="1850" w:type="dxa"/>
          </w:tcPr>
          <w:p w:rsidR="007A048A" w:rsidRPr="0016355E" w:rsidRDefault="00903E09" w:rsidP="00704BF6">
            <w:pPr>
              <w:cnfStyle w:val="000000000000" w:firstRow="0" w:lastRow="0" w:firstColumn="0" w:lastColumn="0" w:oddVBand="0" w:evenVBand="0" w:oddHBand="0" w:evenHBand="0" w:firstRowFirstColumn="0" w:firstRowLastColumn="0" w:lastRowFirstColumn="0" w:lastRowLastColumn="0"/>
            </w:pPr>
            <w:r>
              <w:t>1990</w:t>
            </w:r>
          </w:p>
        </w:tc>
        <w:tc>
          <w:tcPr>
            <w:tcW w:w="1287" w:type="dxa"/>
          </w:tcPr>
          <w:p w:rsidR="007A048A" w:rsidRPr="0016355E" w:rsidRDefault="00732789" w:rsidP="00704BF6">
            <w:pPr>
              <w:cnfStyle w:val="000000000000" w:firstRow="0" w:lastRow="0" w:firstColumn="0" w:lastColumn="0" w:oddVBand="0" w:evenVBand="0" w:oddHBand="0" w:evenHBand="0" w:firstRowFirstColumn="0" w:firstRowLastColumn="0" w:lastRowFirstColumn="0" w:lastRowLastColumn="0"/>
            </w:pPr>
            <w:r>
              <w:t>1990</w:t>
            </w:r>
          </w:p>
        </w:tc>
        <w:tc>
          <w:tcPr>
            <w:tcW w:w="1429" w:type="dxa"/>
          </w:tcPr>
          <w:p w:rsidR="007A048A" w:rsidRPr="0016355E" w:rsidRDefault="00732789" w:rsidP="00704BF6">
            <w:pPr>
              <w:cnfStyle w:val="000000000000" w:firstRow="0" w:lastRow="0" w:firstColumn="0" w:lastColumn="0" w:oddVBand="0" w:evenVBand="0" w:oddHBand="0" w:evenHBand="0" w:firstRowFirstColumn="0" w:firstRowLastColumn="0" w:lastRowFirstColumn="0" w:lastRowLastColumn="0"/>
            </w:pPr>
            <w:r>
              <w:t>1999</w:t>
            </w:r>
          </w:p>
        </w:tc>
        <w:tc>
          <w:tcPr>
            <w:tcW w:w="1545" w:type="dxa"/>
          </w:tcPr>
          <w:p w:rsidR="007A048A" w:rsidRPr="0016355E" w:rsidRDefault="00406CF0" w:rsidP="00704BF6">
            <w:pPr>
              <w:cnfStyle w:val="000000000000" w:firstRow="0" w:lastRow="0" w:firstColumn="0" w:lastColumn="0" w:oddVBand="0" w:evenVBand="0" w:oddHBand="0" w:evenHBand="0" w:firstRowFirstColumn="0" w:firstRowLastColumn="0" w:lastRowFirstColumn="0" w:lastRowLastColumn="0"/>
            </w:pPr>
            <w:r>
              <w:t>1990</w:t>
            </w:r>
          </w:p>
        </w:tc>
      </w:tr>
      <w:tr w:rsidR="001050ED" w:rsidTr="00406CF0">
        <w:tc>
          <w:tcPr>
            <w:cnfStyle w:val="001000000000" w:firstRow="0" w:lastRow="0" w:firstColumn="1" w:lastColumn="0" w:oddVBand="0" w:evenVBand="0" w:oddHBand="0" w:evenHBand="0" w:firstRowFirstColumn="0" w:firstRowLastColumn="0" w:lastRowFirstColumn="0" w:lastRowLastColumn="0"/>
            <w:tcW w:w="2448" w:type="dxa"/>
          </w:tcPr>
          <w:p w:rsidR="001050ED" w:rsidRDefault="00903E09" w:rsidP="001050ED">
            <w:pPr>
              <w:rPr>
                <w:b w:val="0"/>
              </w:rPr>
            </w:pPr>
            <w:r>
              <w:rPr>
                <w:b w:val="0"/>
              </w:rPr>
              <w:t>Last Year Enrolled</w:t>
            </w:r>
          </w:p>
        </w:tc>
        <w:tc>
          <w:tcPr>
            <w:tcW w:w="1017" w:type="dxa"/>
          </w:tcPr>
          <w:p w:rsidR="001050ED" w:rsidRDefault="001050ED" w:rsidP="00704BF6">
            <w:pPr>
              <w:cnfStyle w:val="000000000000" w:firstRow="0" w:lastRow="0" w:firstColumn="0" w:lastColumn="0" w:oddVBand="0" w:evenVBand="0" w:oddHBand="0" w:evenHBand="0" w:firstRowFirstColumn="0" w:firstRowLastColumn="0" w:lastRowFirstColumn="0" w:lastRowLastColumn="0"/>
            </w:pPr>
            <w:r>
              <w:t>2006</w:t>
            </w:r>
          </w:p>
        </w:tc>
        <w:tc>
          <w:tcPr>
            <w:tcW w:w="1850" w:type="dxa"/>
          </w:tcPr>
          <w:p w:rsidR="001050ED" w:rsidRDefault="00903E09" w:rsidP="00704BF6">
            <w:pPr>
              <w:cnfStyle w:val="000000000000" w:firstRow="0" w:lastRow="0" w:firstColumn="0" w:lastColumn="0" w:oddVBand="0" w:evenVBand="0" w:oddHBand="0" w:evenHBand="0" w:firstRowFirstColumn="0" w:firstRowLastColumn="0" w:lastRowFirstColumn="0" w:lastRowLastColumn="0"/>
            </w:pPr>
            <w:r>
              <w:t>2006</w:t>
            </w:r>
          </w:p>
        </w:tc>
        <w:tc>
          <w:tcPr>
            <w:tcW w:w="1287" w:type="dxa"/>
          </w:tcPr>
          <w:p w:rsidR="001050ED" w:rsidRPr="0016355E" w:rsidRDefault="00732789" w:rsidP="00704BF6">
            <w:pPr>
              <w:cnfStyle w:val="000000000000" w:firstRow="0" w:lastRow="0" w:firstColumn="0" w:lastColumn="0" w:oddVBand="0" w:evenVBand="0" w:oddHBand="0" w:evenHBand="0" w:firstRowFirstColumn="0" w:firstRowLastColumn="0" w:lastRowFirstColumn="0" w:lastRowLastColumn="0"/>
            </w:pPr>
            <w:r>
              <w:t>2004</w:t>
            </w:r>
          </w:p>
        </w:tc>
        <w:tc>
          <w:tcPr>
            <w:tcW w:w="1429" w:type="dxa"/>
          </w:tcPr>
          <w:p w:rsidR="001050ED" w:rsidRPr="0016355E" w:rsidRDefault="00732789" w:rsidP="00704BF6">
            <w:pPr>
              <w:cnfStyle w:val="000000000000" w:firstRow="0" w:lastRow="0" w:firstColumn="0" w:lastColumn="0" w:oddVBand="0" w:evenVBand="0" w:oddHBand="0" w:evenHBand="0" w:firstRowFirstColumn="0" w:firstRowLastColumn="0" w:lastRowFirstColumn="0" w:lastRowLastColumn="0"/>
            </w:pPr>
            <w:r>
              <w:t>2010</w:t>
            </w:r>
          </w:p>
        </w:tc>
        <w:tc>
          <w:tcPr>
            <w:tcW w:w="1545" w:type="dxa"/>
          </w:tcPr>
          <w:p w:rsidR="001050ED" w:rsidRPr="0016355E" w:rsidRDefault="00406CF0" w:rsidP="00704BF6">
            <w:pPr>
              <w:cnfStyle w:val="000000000000" w:firstRow="0" w:lastRow="0" w:firstColumn="0" w:lastColumn="0" w:oddVBand="0" w:evenVBand="0" w:oddHBand="0" w:evenHBand="0" w:firstRowFirstColumn="0" w:firstRowLastColumn="0" w:lastRowFirstColumn="0" w:lastRowLastColumn="0"/>
            </w:pPr>
            <w:r>
              <w:t>2010</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7A048A" w:rsidRPr="001050ED" w:rsidRDefault="007A048A" w:rsidP="00704BF6">
            <w:pPr>
              <w:rPr>
                <w:b w:val="0"/>
              </w:rPr>
            </w:pPr>
            <w:r w:rsidRPr="001050ED">
              <w:rPr>
                <w:b w:val="0"/>
              </w:rPr>
              <w:t>Number of subjects</w:t>
            </w:r>
          </w:p>
        </w:tc>
        <w:tc>
          <w:tcPr>
            <w:tcW w:w="1017" w:type="dxa"/>
          </w:tcPr>
          <w:p w:rsidR="007A048A" w:rsidRPr="0016355E" w:rsidRDefault="007A048A" w:rsidP="00704BF6">
            <w:pPr>
              <w:cnfStyle w:val="000000000000" w:firstRow="0" w:lastRow="0" w:firstColumn="0" w:lastColumn="0" w:oddVBand="0" w:evenVBand="0" w:oddHBand="0" w:evenHBand="0" w:firstRowFirstColumn="0" w:firstRowLastColumn="0" w:lastRowFirstColumn="0" w:lastRowLastColumn="0"/>
            </w:pPr>
            <w:r w:rsidRPr="0016355E">
              <w:t>807</w:t>
            </w:r>
          </w:p>
        </w:tc>
        <w:tc>
          <w:tcPr>
            <w:tcW w:w="1850" w:type="dxa"/>
          </w:tcPr>
          <w:p w:rsidR="007A048A" w:rsidRPr="0016355E" w:rsidRDefault="007A048A" w:rsidP="00704BF6">
            <w:pPr>
              <w:cnfStyle w:val="000000000000" w:firstRow="0" w:lastRow="0" w:firstColumn="0" w:lastColumn="0" w:oddVBand="0" w:evenVBand="0" w:oddHBand="0" w:evenHBand="0" w:firstRowFirstColumn="0" w:firstRowLastColumn="0" w:lastRowFirstColumn="0" w:lastRowLastColumn="0"/>
            </w:pPr>
            <w:r w:rsidRPr="0016355E">
              <w:t>899</w:t>
            </w:r>
          </w:p>
        </w:tc>
        <w:tc>
          <w:tcPr>
            <w:tcW w:w="1287" w:type="dxa"/>
          </w:tcPr>
          <w:p w:rsidR="007A048A" w:rsidRPr="0016355E" w:rsidRDefault="00732789" w:rsidP="00704BF6">
            <w:pPr>
              <w:cnfStyle w:val="000000000000" w:firstRow="0" w:lastRow="0" w:firstColumn="0" w:lastColumn="0" w:oddVBand="0" w:evenVBand="0" w:oddHBand="0" w:evenHBand="0" w:firstRowFirstColumn="0" w:firstRowLastColumn="0" w:lastRowFirstColumn="0" w:lastRowLastColumn="0"/>
            </w:pPr>
            <w:r>
              <w:t>1894</w:t>
            </w:r>
          </w:p>
        </w:tc>
        <w:tc>
          <w:tcPr>
            <w:tcW w:w="1429" w:type="dxa"/>
          </w:tcPr>
          <w:p w:rsidR="007A048A" w:rsidRPr="0016355E" w:rsidRDefault="00732789" w:rsidP="00704BF6">
            <w:pPr>
              <w:cnfStyle w:val="000000000000" w:firstRow="0" w:lastRow="0" w:firstColumn="0" w:lastColumn="0" w:oddVBand="0" w:evenVBand="0" w:oddHBand="0" w:evenHBand="0" w:firstRowFirstColumn="0" w:firstRowLastColumn="0" w:lastRowFirstColumn="0" w:lastRowLastColumn="0"/>
            </w:pPr>
            <w:r>
              <w:t>2185</w:t>
            </w:r>
          </w:p>
        </w:tc>
        <w:tc>
          <w:tcPr>
            <w:tcW w:w="1545" w:type="dxa"/>
          </w:tcPr>
          <w:p w:rsidR="007A048A" w:rsidRPr="0016355E" w:rsidRDefault="007A048A" w:rsidP="00704BF6">
            <w:pPr>
              <w:cnfStyle w:val="000000000000" w:firstRow="0" w:lastRow="0" w:firstColumn="0" w:lastColumn="0" w:oddVBand="0" w:evenVBand="0" w:oddHBand="0" w:evenHBand="0" w:firstRowFirstColumn="0" w:firstRowLastColumn="0" w:lastRowFirstColumn="0" w:lastRowLastColumn="0"/>
            </w:pPr>
            <w:r w:rsidRPr="0016355E">
              <w:t>3859</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7A048A" w:rsidRPr="001050ED" w:rsidRDefault="007A048A" w:rsidP="00704BF6">
            <w:pPr>
              <w:rPr>
                <w:b w:val="0"/>
              </w:rPr>
            </w:pPr>
            <w:r w:rsidRPr="001050ED">
              <w:rPr>
                <w:b w:val="0"/>
              </w:rPr>
              <w:t>Age, mean</w:t>
            </w:r>
          </w:p>
        </w:tc>
        <w:tc>
          <w:tcPr>
            <w:tcW w:w="1017" w:type="dxa"/>
          </w:tcPr>
          <w:p w:rsidR="007A048A" w:rsidRPr="0016355E" w:rsidRDefault="001050ED" w:rsidP="00704BF6">
            <w:pPr>
              <w:cnfStyle w:val="000000000000" w:firstRow="0" w:lastRow="0" w:firstColumn="0" w:lastColumn="0" w:oddVBand="0" w:evenVBand="0" w:oddHBand="0" w:evenHBand="0" w:firstRowFirstColumn="0" w:firstRowLastColumn="0" w:lastRowFirstColumn="0" w:lastRowLastColumn="0"/>
            </w:pPr>
            <w:r>
              <w:t>57</w:t>
            </w:r>
          </w:p>
        </w:tc>
        <w:tc>
          <w:tcPr>
            <w:tcW w:w="1850" w:type="dxa"/>
          </w:tcPr>
          <w:p w:rsidR="007A048A" w:rsidRPr="0016355E" w:rsidRDefault="00732789" w:rsidP="00704BF6">
            <w:pPr>
              <w:cnfStyle w:val="000000000000" w:firstRow="0" w:lastRow="0" w:firstColumn="0" w:lastColumn="0" w:oddVBand="0" w:evenVBand="0" w:oddHBand="0" w:evenHBand="0" w:firstRowFirstColumn="0" w:firstRowLastColumn="0" w:lastRowFirstColumn="0" w:lastRowLastColumn="0"/>
            </w:pPr>
            <w:r>
              <w:t>61</w:t>
            </w:r>
          </w:p>
        </w:tc>
        <w:tc>
          <w:tcPr>
            <w:tcW w:w="1287" w:type="dxa"/>
          </w:tcPr>
          <w:p w:rsidR="007A048A" w:rsidRPr="0016355E" w:rsidRDefault="00732789" w:rsidP="00704BF6">
            <w:pPr>
              <w:cnfStyle w:val="000000000000" w:firstRow="0" w:lastRow="0" w:firstColumn="0" w:lastColumn="0" w:oddVBand="0" w:evenVBand="0" w:oddHBand="0" w:evenHBand="0" w:firstRowFirstColumn="0" w:firstRowLastColumn="0" w:lastRowFirstColumn="0" w:lastRowLastColumn="0"/>
            </w:pPr>
            <w:r>
              <w:t>67</w:t>
            </w:r>
          </w:p>
        </w:tc>
        <w:tc>
          <w:tcPr>
            <w:tcW w:w="1429" w:type="dxa"/>
          </w:tcPr>
          <w:p w:rsidR="007A048A" w:rsidRPr="0016355E" w:rsidRDefault="00406CF0" w:rsidP="00704BF6">
            <w:pPr>
              <w:cnfStyle w:val="000000000000" w:firstRow="0" w:lastRow="0" w:firstColumn="0" w:lastColumn="0" w:oddVBand="0" w:evenVBand="0" w:oddHBand="0" w:evenHBand="0" w:firstRowFirstColumn="0" w:firstRowLastColumn="0" w:lastRowFirstColumn="0" w:lastRowLastColumn="0"/>
            </w:pPr>
            <w:r>
              <w:t>65</w:t>
            </w:r>
          </w:p>
        </w:tc>
        <w:tc>
          <w:tcPr>
            <w:tcW w:w="1545" w:type="dxa"/>
          </w:tcPr>
          <w:p w:rsidR="007A048A" w:rsidRPr="0016355E" w:rsidRDefault="00406CF0" w:rsidP="00704BF6">
            <w:pPr>
              <w:cnfStyle w:val="000000000000" w:firstRow="0" w:lastRow="0" w:firstColumn="0" w:lastColumn="0" w:oddVBand="0" w:evenVBand="0" w:oddHBand="0" w:evenHBand="0" w:firstRowFirstColumn="0" w:firstRowLastColumn="0" w:lastRowFirstColumn="0" w:lastRowLastColumn="0"/>
            </w:pPr>
            <w:r>
              <w:t>67</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7A048A" w:rsidRPr="001050ED" w:rsidRDefault="007A048A" w:rsidP="001050ED">
            <w:pPr>
              <w:rPr>
                <w:b w:val="0"/>
              </w:rPr>
            </w:pPr>
            <w:r w:rsidRPr="001050ED">
              <w:rPr>
                <w:b w:val="0"/>
              </w:rPr>
              <w:t xml:space="preserve">Female, </w:t>
            </w:r>
            <w:r w:rsidR="001050ED">
              <w:rPr>
                <w:b w:val="0"/>
              </w:rPr>
              <w:t>%</w:t>
            </w:r>
          </w:p>
        </w:tc>
        <w:tc>
          <w:tcPr>
            <w:tcW w:w="1017" w:type="dxa"/>
          </w:tcPr>
          <w:p w:rsidR="007A048A" w:rsidRPr="0016355E" w:rsidRDefault="001050ED" w:rsidP="00704BF6">
            <w:pPr>
              <w:cnfStyle w:val="000000000000" w:firstRow="0" w:lastRow="0" w:firstColumn="0" w:lastColumn="0" w:oddVBand="0" w:evenVBand="0" w:oddHBand="0" w:evenHBand="0" w:firstRowFirstColumn="0" w:firstRowLastColumn="0" w:lastRowFirstColumn="0" w:lastRowLastColumn="0"/>
            </w:pPr>
            <w:r>
              <w:t>22</w:t>
            </w:r>
          </w:p>
        </w:tc>
        <w:tc>
          <w:tcPr>
            <w:tcW w:w="1850" w:type="dxa"/>
          </w:tcPr>
          <w:p w:rsidR="007A048A" w:rsidRPr="0016355E" w:rsidRDefault="00732789" w:rsidP="00704BF6">
            <w:pPr>
              <w:cnfStyle w:val="000000000000" w:firstRow="0" w:lastRow="0" w:firstColumn="0" w:lastColumn="0" w:oddVBand="0" w:evenVBand="0" w:oddHBand="0" w:evenHBand="0" w:firstRowFirstColumn="0" w:firstRowLastColumn="0" w:lastRowFirstColumn="0" w:lastRowLastColumn="0"/>
            </w:pPr>
            <w:r>
              <w:t>27</w:t>
            </w:r>
          </w:p>
        </w:tc>
        <w:tc>
          <w:tcPr>
            <w:tcW w:w="1287" w:type="dxa"/>
          </w:tcPr>
          <w:p w:rsidR="007A048A" w:rsidRPr="0016355E" w:rsidRDefault="00732789" w:rsidP="00704BF6">
            <w:pPr>
              <w:cnfStyle w:val="000000000000" w:firstRow="0" w:lastRow="0" w:firstColumn="0" w:lastColumn="0" w:oddVBand="0" w:evenVBand="0" w:oddHBand="0" w:evenHBand="0" w:firstRowFirstColumn="0" w:firstRowLastColumn="0" w:lastRowFirstColumn="0" w:lastRowLastColumn="0"/>
            </w:pPr>
            <w:r>
              <w:t>24</w:t>
            </w:r>
          </w:p>
        </w:tc>
        <w:tc>
          <w:tcPr>
            <w:tcW w:w="1429" w:type="dxa"/>
          </w:tcPr>
          <w:p w:rsidR="007A048A" w:rsidRPr="0016355E" w:rsidRDefault="00406CF0" w:rsidP="00704BF6">
            <w:pPr>
              <w:cnfStyle w:val="000000000000" w:firstRow="0" w:lastRow="0" w:firstColumn="0" w:lastColumn="0" w:oddVBand="0" w:evenVBand="0" w:oddHBand="0" w:evenHBand="0" w:firstRowFirstColumn="0" w:firstRowLastColumn="0" w:lastRowFirstColumn="0" w:lastRowLastColumn="0"/>
            </w:pPr>
            <w:r>
              <w:t>20</w:t>
            </w:r>
          </w:p>
        </w:tc>
        <w:tc>
          <w:tcPr>
            <w:tcW w:w="1545" w:type="dxa"/>
          </w:tcPr>
          <w:p w:rsidR="007A048A" w:rsidRPr="0016355E" w:rsidRDefault="00406CF0" w:rsidP="00704BF6">
            <w:pPr>
              <w:cnfStyle w:val="000000000000" w:firstRow="0" w:lastRow="0" w:firstColumn="0" w:lastColumn="0" w:oddVBand="0" w:evenVBand="0" w:oddHBand="0" w:evenHBand="0" w:firstRowFirstColumn="0" w:firstRowLastColumn="0" w:lastRowFirstColumn="0" w:lastRowLastColumn="0"/>
            </w:pPr>
            <w:r>
              <w:t>26</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1050ED" w:rsidRDefault="0073053A" w:rsidP="00704BF6">
            <w:pPr>
              <w:rPr>
                <w:b w:val="0"/>
              </w:rPr>
            </w:pPr>
            <w:r>
              <w:rPr>
                <w:b w:val="0"/>
              </w:rPr>
              <w:t>Arrest Witnessed</w:t>
            </w:r>
          </w:p>
        </w:tc>
        <w:tc>
          <w:tcPr>
            <w:tcW w:w="1017" w:type="dxa"/>
          </w:tcPr>
          <w:p w:rsidR="00406CF0" w:rsidRPr="0016355E" w:rsidRDefault="0073053A" w:rsidP="00704BF6">
            <w:pPr>
              <w:cnfStyle w:val="000000000000" w:firstRow="0" w:lastRow="0" w:firstColumn="0" w:lastColumn="0" w:oddVBand="0" w:evenVBand="0" w:oddHBand="0" w:evenHBand="0" w:firstRowFirstColumn="0" w:firstRowLastColumn="0" w:lastRowFirstColumn="0" w:lastRowLastColumn="0"/>
            </w:pPr>
            <w:r>
              <w:t>N/A</w:t>
            </w:r>
          </w:p>
        </w:tc>
        <w:tc>
          <w:tcPr>
            <w:tcW w:w="1850" w:type="dxa"/>
          </w:tcPr>
          <w:p w:rsidR="00406CF0" w:rsidRPr="0016355E" w:rsidRDefault="0073053A" w:rsidP="00704BF6">
            <w:pPr>
              <w:cnfStyle w:val="000000000000" w:firstRow="0" w:lastRow="0" w:firstColumn="0" w:lastColumn="0" w:oddVBand="0" w:evenVBand="0" w:oddHBand="0" w:evenHBand="0" w:firstRowFirstColumn="0" w:firstRowLastColumn="0" w:lastRowFirstColumn="0" w:lastRowLastColumn="0"/>
            </w:pPr>
            <w:r>
              <w:t>68</w:t>
            </w:r>
          </w:p>
        </w:tc>
        <w:tc>
          <w:tcPr>
            <w:tcW w:w="1287" w:type="dxa"/>
          </w:tcPr>
          <w:p w:rsidR="00406CF0" w:rsidRPr="0016355E" w:rsidRDefault="0073053A" w:rsidP="00704BF6">
            <w:pPr>
              <w:cnfStyle w:val="000000000000" w:firstRow="0" w:lastRow="0" w:firstColumn="0" w:lastColumn="0" w:oddVBand="0" w:evenVBand="0" w:oddHBand="0" w:evenHBand="0" w:firstRowFirstColumn="0" w:firstRowLastColumn="0" w:lastRowFirstColumn="0" w:lastRowLastColumn="0"/>
            </w:pPr>
            <w:r>
              <w:t>60</w:t>
            </w:r>
          </w:p>
        </w:tc>
        <w:tc>
          <w:tcPr>
            <w:tcW w:w="1429" w:type="dxa"/>
          </w:tcPr>
          <w:p w:rsidR="00406CF0" w:rsidRPr="0016355E" w:rsidRDefault="0073053A" w:rsidP="00704BF6">
            <w:pPr>
              <w:cnfStyle w:val="000000000000" w:firstRow="0" w:lastRow="0" w:firstColumn="0" w:lastColumn="0" w:oddVBand="0" w:evenVBand="0" w:oddHBand="0" w:evenHBand="0" w:firstRowFirstColumn="0" w:firstRowLastColumn="0" w:lastRowFirstColumn="0" w:lastRowLastColumn="0"/>
            </w:pPr>
            <w:r>
              <w:t>75</w:t>
            </w:r>
          </w:p>
        </w:tc>
        <w:tc>
          <w:tcPr>
            <w:tcW w:w="1545" w:type="dxa"/>
          </w:tcPr>
          <w:p w:rsidR="00406CF0" w:rsidRPr="0016355E" w:rsidRDefault="0073053A" w:rsidP="00704BF6">
            <w:pPr>
              <w:cnfStyle w:val="000000000000" w:firstRow="0" w:lastRow="0" w:firstColumn="0" w:lastColumn="0" w:oddVBand="0" w:evenVBand="0" w:oddHBand="0" w:evenHBand="0" w:firstRowFirstColumn="0" w:firstRowLastColumn="0" w:lastRowFirstColumn="0" w:lastRowLastColumn="0"/>
            </w:pPr>
            <w:r>
              <w:t>60</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Default="00406CF0" w:rsidP="00704BF6">
            <w:pPr>
              <w:rPr>
                <w:b w:val="0"/>
              </w:rPr>
            </w:pPr>
            <w:r>
              <w:rPr>
                <w:b w:val="0"/>
              </w:rPr>
              <w:t>Survived 30 days after arrest, %</w:t>
            </w:r>
          </w:p>
        </w:tc>
        <w:tc>
          <w:tcPr>
            <w:tcW w:w="1017" w:type="dxa"/>
          </w:tcPr>
          <w:p w:rsidR="00406CF0" w:rsidRDefault="0073053A" w:rsidP="00704BF6">
            <w:pPr>
              <w:cnfStyle w:val="000000000000" w:firstRow="0" w:lastRow="0" w:firstColumn="0" w:lastColumn="0" w:oddVBand="0" w:evenVBand="0" w:oddHBand="0" w:evenHBand="0" w:firstRowFirstColumn="0" w:firstRowLastColumn="0" w:lastRowFirstColumn="0" w:lastRowLastColumn="0"/>
            </w:pPr>
            <w:r>
              <w:t>N/A</w:t>
            </w:r>
          </w:p>
        </w:tc>
        <w:tc>
          <w:tcPr>
            <w:tcW w:w="1850" w:type="dxa"/>
          </w:tcPr>
          <w:p w:rsidR="00406CF0" w:rsidRDefault="0073053A" w:rsidP="00704BF6">
            <w:pPr>
              <w:cnfStyle w:val="000000000000" w:firstRow="0" w:lastRow="0" w:firstColumn="0" w:lastColumn="0" w:oddVBand="0" w:evenVBand="0" w:oddHBand="0" w:evenHBand="0" w:firstRowFirstColumn="0" w:firstRowLastColumn="0" w:lastRowFirstColumn="0" w:lastRowLastColumn="0"/>
            </w:pPr>
            <w:r>
              <w:t>37</w:t>
            </w:r>
          </w:p>
        </w:tc>
        <w:tc>
          <w:tcPr>
            <w:tcW w:w="1287" w:type="dxa"/>
          </w:tcPr>
          <w:p w:rsidR="00406CF0" w:rsidRDefault="0073053A" w:rsidP="00704BF6">
            <w:pPr>
              <w:cnfStyle w:val="000000000000" w:firstRow="0" w:lastRow="0" w:firstColumn="0" w:lastColumn="0" w:oddVBand="0" w:evenVBand="0" w:oddHBand="0" w:evenHBand="0" w:firstRowFirstColumn="0" w:firstRowLastColumn="0" w:lastRowFirstColumn="0" w:lastRowLastColumn="0"/>
            </w:pPr>
            <w:r>
              <w:t>17</w:t>
            </w:r>
          </w:p>
        </w:tc>
        <w:tc>
          <w:tcPr>
            <w:tcW w:w="1429" w:type="dxa"/>
          </w:tcPr>
          <w:p w:rsidR="00406CF0" w:rsidRDefault="0073053A" w:rsidP="00704BF6">
            <w:pPr>
              <w:cnfStyle w:val="000000000000" w:firstRow="0" w:lastRow="0" w:firstColumn="0" w:lastColumn="0" w:oddVBand="0" w:evenVBand="0" w:oddHBand="0" w:evenHBand="0" w:firstRowFirstColumn="0" w:firstRowLastColumn="0" w:lastRowFirstColumn="0" w:lastRowLastColumn="0"/>
            </w:pPr>
            <w:r>
              <w:t>32</w:t>
            </w:r>
          </w:p>
        </w:tc>
        <w:tc>
          <w:tcPr>
            <w:tcW w:w="1545" w:type="dxa"/>
          </w:tcPr>
          <w:p w:rsidR="00406CF0" w:rsidRDefault="0073053A" w:rsidP="00704BF6">
            <w:pPr>
              <w:cnfStyle w:val="000000000000" w:firstRow="0" w:lastRow="0" w:firstColumn="0" w:lastColumn="0" w:oddVBand="0" w:evenVBand="0" w:oddHBand="0" w:evenHBand="0" w:firstRowFirstColumn="0" w:firstRowLastColumn="0" w:lastRowFirstColumn="0" w:lastRowLastColumn="0"/>
            </w:pPr>
            <w:r>
              <w:t>20</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1050ED" w:rsidRDefault="00406CF0" w:rsidP="00704BF6">
            <w:pPr>
              <w:rPr>
                <w:b w:val="0"/>
              </w:rPr>
            </w:pPr>
            <w:r>
              <w:rPr>
                <w:b w:val="0"/>
              </w:rPr>
              <w:t>Neighborhood</w:t>
            </w:r>
            <w:r w:rsidRPr="001050ED">
              <w:rPr>
                <w:b w:val="0"/>
              </w:rPr>
              <w:t xml:space="preserve"> Identified, </w:t>
            </w:r>
            <w:r>
              <w:rPr>
                <w:b w:val="0"/>
              </w:rPr>
              <w:t>%</w:t>
            </w:r>
          </w:p>
        </w:tc>
        <w:tc>
          <w:tcPr>
            <w:tcW w:w="101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92</w:t>
            </w:r>
          </w:p>
        </w:tc>
        <w:tc>
          <w:tcPr>
            <w:tcW w:w="1850"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78</w:t>
            </w:r>
          </w:p>
        </w:tc>
        <w:tc>
          <w:tcPr>
            <w:tcW w:w="128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81</w:t>
            </w:r>
          </w:p>
        </w:tc>
        <w:tc>
          <w:tcPr>
            <w:tcW w:w="1429"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79</w:t>
            </w:r>
          </w:p>
        </w:tc>
        <w:tc>
          <w:tcPr>
            <w:tcW w:w="1545"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83</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1050ED" w:rsidRDefault="00406CF0" w:rsidP="00406CF0">
            <w:pPr>
              <w:rPr>
                <w:i/>
              </w:rPr>
            </w:pPr>
            <w:r>
              <w:rPr>
                <w:i/>
              </w:rPr>
              <w:t>Home Census Tract</w:t>
            </w:r>
          </w:p>
        </w:tc>
        <w:tc>
          <w:tcPr>
            <w:tcW w:w="101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p>
        </w:tc>
        <w:tc>
          <w:tcPr>
            <w:tcW w:w="1850"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p>
        </w:tc>
        <w:tc>
          <w:tcPr>
            <w:tcW w:w="128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p>
        </w:tc>
        <w:tc>
          <w:tcPr>
            <w:tcW w:w="1429"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p>
        </w:tc>
        <w:tc>
          <w:tcPr>
            <w:tcW w:w="1545"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1050ED" w:rsidRDefault="00406CF0" w:rsidP="00704BF6">
            <w:pPr>
              <w:rPr>
                <w:b w:val="0"/>
              </w:rPr>
            </w:pPr>
            <w:r w:rsidRPr="001050ED">
              <w:rPr>
                <w:b w:val="0"/>
              </w:rPr>
              <w:t>Per-capita Income, $</w:t>
            </w:r>
          </w:p>
        </w:tc>
        <w:tc>
          <w:tcPr>
            <w:tcW w:w="101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31,268</w:t>
            </w:r>
          </w:p>
        </w:tc>
        <w:tc>
          <w:tcPr>
            <w:tcW w:w="1850"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28,296</w:t>
            </w:r>
          </w:p>
        </w:tc>
        <w:tc>
          <w:tcPr>
            <w:tcW w:w="128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29,864</w:t>
            </w:r>
          </w:p>
        </w:tc>
        <w:tc>
          <w:tcPr>
            <w:tcW w:w="1429"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28,522</w:t>
            </w:r>
          </w:p>
        </w:tc>
        <w:tc>
          <w:tcPr>
            <w:tcW w:w="1545"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28,393</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1050ED" w:rsidRDefault="00406CF0" w:rsidP="00704BF6">
            <w:pPr>
              <w:rPr>
                <w:b w:val="0"/>
              </w:rPr>
            </w:pPr>
            <w:r w:rsidRPr="001050ED">
              <w:rPr>
                <w:b w:val="0"/>
              </w:rPr>
              <w:t>Healthy Food Outlets, median</w:t>
            </w:r>
          </w:p>
        </w:tc>
        <w:tc>
          <w:tcPr>
            <w:tcW w:w="101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1</w:t>
            </w:r>
          </w:p>
        </w:tc>
        <w:tc>
          <w:tcPr>
            <w:tcW w:w="1850"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1</w:t>
            </w:r>
          </w:p>
        </w:tc>
        <w:tc>
          <w:tcPr>
            <w:tcW w:w="128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1</w:t>
            </w:r>
          </w:p>
        </w:tc>
        <w:tc>
          <w:tcPr>
            <w:tcW w:w="1429"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1</w:t>
            </w:r>
          </w:p>
        </w:tc>
        <w:tc>
          <w:tcPr>
            <w:tcW w:w="1545"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1</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1050ED" w:rsidRDefault="00406CF0" w:rsidP="00704BF6">
            <w:pPr>
              <w:rPr>
                <w:b w:val="0"/>
              </w:rPr>
            </w:pPr>
            <w:r>
              <w:rPr>
                <w:b w:val="0"/>
              </w:rPr>
              <w:t>Fish Markets, median</w:t>
            </w:r>
          </w:p>
        </w:tc>
        <w:tc>
          <w:tcPr>
            <w:tcW w:w="1017"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0</w:t>
            </w:r>
          </w:p>
        </w:tc>
        <w:tc>
          <w:tcPr>
            <w:tcW w:w="1850"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0</w:t>
            </w:r>
          </w:p>
        </w:tc>
        <w:tc>
          <w:tcPr>
            <w:tcW w:w="1287"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0</w:t>
            </w:r>
          </w:p>
        </w:tc>
        <w:tc>
          <w:tcPr>
            <w:tcW w:w="1429"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0</w:t>
            </w:r>
          </w:p>
        </w:tc>
        <w:tc>
          <w:tcPr>
            <w:tcW w:w="1545"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0</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1050ED" w:rsidRDefault="00406CF0" w:rsidP="00704BF6">
            <w:pPr>
              <w:rPr>
                <w:b w:val="0"/>
              </w:rPr>
            </w:pPr>
            <w:r w:rsidRPr="001050ED">
              <w:rPr>
                <w:b w:val="0"/>
              </w:rPr>
              <w:t>Unhealthy Food Outlets, median</w:t>
            </w:r>
          </w:p>
        </w:tc>
        <w:tc>
          <w:tcPr>
            <w:tcW w:w="1017"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2</w:t>
            </w:r>
          </w:p>
        </w:tc>
        <w:tc>
          <w:tcPr>
            <w:tcW w:w="1850"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4</w:t>
            </w:r>
          </w:p>
        </w:tc>
        <w:tc>
          <w:tcPr>
            <w:tcW w:w="1287"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3</w:t>
            </w:r>
          </w:p>
        </w:tc>
        <w:tc>
          <w:tcPr>
            <w:tcW w:w="1429"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4</w:t>
            </w:r>
          </w:p>
        </w:tc>
        <w:tc>
          <w:tcPr>
            <w:tcW w:w="1545"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4</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406CF0" w:rsidRDefault="00406CF0" w:rsidP="001050ED">
            <w:r w:rsidRPr="00406CF0">
              <w:t>5 km buffer from Home Census Tract Centroid</w:t>
            </w:r>
          </w:p>
        </w:tc>
        <w:tc>
          <w:tcPr>
            <w:tcW w:w="1017" w:type="dxa"/>
          </w:tcPr>
          <w:p w:rsidR="00406CF0" w:rsidRPr="00406CF0" w:rsidRDefault="00406CF0" w:rsidP="00704BF6">
            <w:pPr>
              <w:cnfStyle w:val="000000000000" w:firstRow="0" w:lastRow="0" w:firstColumn="0" w:lastColumn="0" w:oddVBand="0" w:evenVBand="0" w:oddHBand="0" w:evenHBand="0" w:firstRowFirstColumn="0" w:firstRowLastColumn="0" w:lastRowFirstColumn="0" w:lastRowLastColumn="0"/>
              <w:rPr>
                <w:b/>
              </w:rPr>
            </w:pPr>
          </w:p>
        </w:tc>
        <w:tc>
          <w:tcPr>
            <w:tcW w:w="1850"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p>
        </w:tc>
        <w:tc>
          <w:tcPr>
            <w:tcW w:w="1287"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p>
        </w:tc>
        <w:tc>
          <w:tcPr>
            <w:tcW w:w="1429"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p>
        </w:tc>
        <w:tc>
          <w:tcPr>
            <w:tcW w:w="1545"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1050ED" w:rsidRDefault="00406CF0" w:rsidP="001050ED">
            <w:pPr>
              <w:rPr>
                <w:b w:val="0"/>
              </w:rPr>
            </w:pPr>
            <w:r w:rsidRPr="001050ED">
              <w:rPr>
                <w:b w:val="0"/>
              </w:rPr>
              <w:t>Healthy Food Outlets, median</w:t>
            </w:r>
          </w:p>
        </w:tc>
        <w:tc>
          <w:tcPr>
            <w:tcW w:w="101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18</w:t>
            </w:r>
          </w:p>
        </w:tc>
        <w:tc>
          <w:tcPr>
            <w:tcW w:w="1850"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26</w:t>
            </w:r>
          </w:p>
        </w:tc>
        <w:tc>
          <w:tcPr>
            <w:tcW w:w="128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26</w:t>
            </w:r>
          </w:p>
        </w:tc>
        <w:tc>
          <w:tcPr>
            <w:tcW w:w="1429"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26</w:t>
            </w:r>
          </w:p>
        </w:tc>
        <w:tc>
          <w:tcPr>
            <w:tcW w:w="1545"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26</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1050ED" w:rsidRDefault="00406CF0" w:rsidP="001050ED">
            <w:pPr>
              <w:rPr>
                <w:b w:val="0"/>
              </w:rPr>
            </w:pPr>
            <w:r>
              <w:rPr>
                <w:b w:val="0"/>
              </w:rPr>
              <w:t>Fish Markets, median</w:t>
            </w:r>
          </w:p>
        </w:tc>
        <w:tc>
          <w:tcPr>
            <w:tcW w:w="1017" w:type="dxa"/>
          </w:tcPr>
          <w:p w:rsidR="00406CF0" w:rsidRDefault="00406CF0" w:rsidP="00704BF6">
            <w:pPr>
              <w:cnfStyle w:val="000000000000" w:firstRow="0" w:lastRow="0" w:firstColumn="0" w:lastColumn="0" w:oddVBand="0" w:evenVBand="0" w:oddHBand="0" w:evenHBand="0" w:firstRowFirstColumn="0" w:firstRowLastColumn="0" w:lastRowFirstColumn="0" w:lastRowLastColumn="0"/>
            </w:pPr>
            <w:r>
              <w:t>1</w:t>
            </w:r>
          </w:p>
        </w:tc>
        <w:tc>
          <w:tcPr>
            <w:tcW w:w="1850"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w:t>
            </w:r>
          </w:p>
        </w:tc>
        <w:tc>
          <w:tcPr>
            <w:tcW w:w="128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w:t>
            </w:r>
          </w:p>
        </w:tc>
        <w:tc>
          <w:tcPr>
            <w:tcW w:w="1429"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1</w:t>
            </w:r>
          </w:p>
        </w:tc>
        <w:tc>
          <w:tcPr>
            <w:tcW w:w="1545"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2</w:t>
            </w:r>
          </w:p>
        </w:tc>
      </w:tr>
      <w:tr w:rsidR="00406CF0" w:rsidTr="00406CF0">
        <w:tc>
          <w:tcPr>
            <w:cnfStyle w:val="001000000000" w:firstRow="0" w:lastRow="0" w:firstColumn="1" w:lastColumn="0" w:oddVBand="0" w:evenVBand="0" w:oddHBand="0" w:evenHBand="0" w:firstRowFirstColumn="0" w:firstRowLastColumn="0" w:lastRowFirstColumn="0" w:lastRowLastColumn="0"/>
            <w:tcW w:w="2448" w:type="dxa"/>
          </w:tcPr>
          <w:p w:rsidR="00406CF0" w:rsidRPr="001050ED" w:rsidRDefault="00406CF0" w:rsidP="001050ED">
            <w:pPr>
              <w:rPr>
                <w:b w:val="0"/>
              </w:rPr>
            </w:pPr>
            <w:r w:rsidRPr="001050ED">
              <w:rPr>
                <w:b w:val="0"/>
              </w:rPr>
              <w:t>Unhealthy Food Outlets, median</w:t>
            </w:r>
          </w:p>
        </w:tc>
        <w:tc>
          <w:tcPr>
            <w:tcW w:w="101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62</w:t>
            </w:r>
          </w:p>
        </w:tc>
        <w:tc>
          <w:tcPr>
            <w:tcW w:w="1850"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98</w:t>
            </w:r>
          </w:p>
        </w:tc>
        <w:tc>
          <w:tcPr>
            <w:tcW w:w="1287"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93</w:t>
            </w:r>
          </w:p>
        </w:tc>
        <w:tc>
          <w:tcPr>
            <w:tcW w:w="1429"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99</w:t>
            </w:r>
          </w:p>
        </w:tc>
        <w:tc>
          <w:tcPr>
            <w:tcW w:w="1545" w:type="dxa"/>
          </w:tcPr>
          <w:p w:rsidR="00406CF0" w:rsidRPr="0016355E" w:rsidRDefault="00406CF0" w:rsidP="00704BF6">
            <w:pPr>
              <w:cnfStyle w:val="000000000000" w:firstRow="0" w:lastRow="0" w:firstColumn="0" w:lastColumn="0" w:oddVBand="0" w:evenVBand="0" w:oddHBand="0" w:evenHBand="0" w:firstRowFirstColumn="0" w:firstRowLastColumn="0" w:lastRowFirstColumn="0" w:lastRowLastColumn="0"/>
            </w:pPr>
            <w:r>
              <w:t>103</w:t>
            </w:r>
          </w:p>
        </w:tc>
      </w:tr>
    </w:tbl>
    <w:p w:rsidR="00286C47" w:rsidRDefault="00406CF0" w:rsidP="00A7579C">
      <w:r>
        <w:rPr>
          <w:vertAlign w:val="superscript"/>
        </w:rPr>
        <w:t>1</w:t>
      </w:r>
      <w:r w:rsidR="007A048A" w:rsidRPr="0016355E">
        <w:t xml:space="preserve"> </w:t>
      </w:r>
      <w:r w:rsidR="007A048A">
        <w:t>Age 80 or younger</w:t>
      </w:r>
      <w:r w:rsidR="00597DAD">
        <w:t xml:space="preserve"> (</w:t>
      </w:r>
      <w:proofErr w:type="spellStart"/>
      <w:r w:rsidR="00597DAD">
        <w:t>EventAge</w:t>
      </w:r>
      <w:proofErr w:type="spellEnd"/>
      <w:r w:rsidR="00597DAD">
        <w:t>)</w:t>
      </w:r>
      <w:r w:rsidR="007A048A">
        <w:t>, with no history of clinically diagnosed heart disease</w:t>
      </w:r>
      <w:r w:rsidR="00597DAD">
        <w:t xml:space="preserve"> (</w:t>
      </w:r>
      <w:r w:rsidR="00597DAD" w:rsidRPr="00597DAD">
        <w:t>Z_CHARS_CADPRIOR</w:t>
      </w:r>
      <w:r w:rsidR="00597DAD">
        <w:t xml:space="preserve"> is 0 or </w:t>
      </w:r>
      <w:proofErr w:type="spellStart"/>
      <w:r w:rsidR="00597DAD">
        <w:t>DPCase</w:t>
      </w:r>
      <w:proofErr w:type="spellEnd"/>
      <w:r w:rsidR="00597DAD">
        <w:t xml:space="preserve"> is 0)</w:t>
      </w:r>
      <w:r w:rsidR="007A048A">
        <w:t>, cardiac arrest incident at or prior to 2006</w:t>
      </w:r>
      <w:r w:rsidR="00597DAD">
        <w:t xml:space="preserve"> (</w:t>
      </w:r>
      <w:proofErr w:type="spellStart"/>
      <w:r w:rsidR="00597DAD">
        <w:t>EventYear</w:t>
      </w:r>
      <w:proofErr w:type="spellEnd"/>
      <w:r w:rsidR="00597DAD">
        <w:t>)</w:t>
      </w:r>
      <w:r w:rsidR="00A7579C">
        <w:t xml:space="preserve">  </w:t>
      </w:r>
    </w:p>
    <w:p w:rsidR="00597DAD" w:rsidRDefault="00597DAD" w:rsidP="00597DAD">
      <w:r>
        <w:rPr>
          <w:vertAlign w:val="superscript"/>
        </w:rPr>
        <w:t>2</w:t>
      </w:r>
      <w:r w:rsidRPr="0016355E">
        <w:t xml:space="preserve"> </w:t>
      </w:r>
      <w:proofErr w:type="spellStart"/>
      <w:r>
        <w:t>EventID</w:t>
      </w:r>
      <w:proofErr w:type="spellEnd"/>
      <w:r>
        <w:t xml:space="preserve"> found in </w:t>
      </w:r>
      <w:r w:rsidRPr="00597DAD">
        <w:t>2014Apr30_CABSR_Biomarkers.csv</w:t>
      </w:r>
      <w:r>
        <w:t xml:space="preserve"> </w:t>
      </w:r>
    </w:p>
    <w:p w:rsidR="00597DAD" w:rsidRDefault="00597DAD" w:rsidP="00597DAD">
      <w:r>
        <w:rPr>
          <w:vertAlign w:val="superscript"/>
        </w:rPr>
        <w:t>3</w:t>
      </w:r>
      <w:r w:rsidRPr="0016355E">
        <w:t xml:space="preserve"> </w:t>
      </w:r>
      <w:r w:rsidR="005A5561">
        <w:t xml:space="preserve">Subset of all subjects with </w:t>
      </w:r>
      <w:proofErr w:type="spellStart"/>
      <w:r w:rsidR="005A5561" w:rsidRPr="005A5561">
        <w:t>ZRhythm</w:t>
      </w:r>
      <w:proofErr w:type="spellEnd"/>
      <w:r w:rsidR="005A5561">
        <w:t xml:space="preserve"> == ’VF’</w:t>
      </w:r>
    </w:p>
    <w:p w:rsidR="005A5561" w:rsidRDefault="005A5561" w:rsidP="00597DAD">
      <w:r>
        <w:rPr>
          <w:vertAlign w:val="superscript"/>
        </w:rPr>
        <w:t>4</w:t>
      </w:r>
      <w:r w:rsidRPr="0016355E">
        <w:t xml:space="preserve"> </w:t>
      </w:r>
      <w:r>
        <w:t xml:space="preserve">Subset of all subjects with </w:t>
      </w:r>
      <w:proofErr w:type="spellStart"/>
      <w:r>
        <w:t>DPCase</w:t>
      </w:r>
      <w:proofErr w:type="spellEnd"/>
      <w:r>
        <w:t xml:space="preserve"> == 1</w:t>
      </w:r>
    </w:p>
    <w:p w:rsidR="00A7579C" w:rsidRDefault="00A7579C">
      <w:r>
        <w:br w:type="page"/>
      </w:r>
    </w:p>
    <w:p w:rsidR="00597DAD" w:rsidRPr="00597DAD" w:rsidRDefault="00597DAD">
      <w:pPr>
        <w:rPr>
          <w:b/>
        </w:rPr>
      </w:pPr>
      <w:proofErr w:type="gramStart"/>
      <w:r w:rsidRPr="00597DAD">
        <w:rPr>
          <w:b/>
        </w:rPr>
        <w:lastRenderedPageBreak/>
        <w:t xml:space="preserve">Table </w:t>
      </w:r>
      <w:r w:rsidR="00D367AF">
        <w:rPr>
          <w:b/>
        </w:rPr>
        <w:t>1a</w:t>
      </w:r>
      <w:r w:rsidRPr="00597DAD">
        <w:rPr>
          <w:b/>
        </w:rPr>
        <w:t>.</w:t>
      </w:r>
      <w:proofErr w:type="gramEnd"/>
      <w:r w:rsidRPr="00597DAD">
        <w:rPr>
          <w:b/>
        </w:rPr>
        <w:t xml:space="preserve">  CABS Variables used to compute row values in Table 1</w:t>
      </w:r>
      <w:r w:rsidR="00280310">
        <w:rPr>
          <w:b/>
        </w:rPr>
        <w:t xml:space="preserve"> (NOT INTENDED FOR PUBLIC VIEW)</w:t>
      </w:r>
    </w:p>
    <w:tbl>
      <w:tblPr>
        <w:tblStyle w:val="LightShading"/>
        <w:tblW w:w="0" w:type="auto"/>
        <w:tblLook w:val="06A0" w:firstRow="1" w:lastRow="0" w:firstColumn="1" w:lastColumn="0" w:noHBand="1" w:noVBand="1"/>
      </w:tblPr>
      <w:tblGrid>
        <w:gridCol w:w="4410"/>
        <w:gridCol w:w="4416"/>
      </w:tblGrid>
      <w:tr w:rsidR="00A7579C" w:rsidTr="00597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579C" w:rsidRPr="0016355E" w:rsidRDefault="00A7579C" w:rsidP="00A7579C"/>
        </w:tc>
        <w:tc>
          <w:tcPr>
            <w:tcW w:w="0" w:type="auto"/>
          </w:tcPr>
          <w:p w:rsidR="00A7579C" w:rsidRPr="0016355E" w:rsidRDefault="00A7579C" w:rsidP="00A7579C">
            <w:pPr>
              <w:cnfStyle w:val="100000000000" w:firstRow="1" w:lastRow="0" w:firstColumn="0" w:lastColumn="0" w:oddVBand="0" w:evenVBand="0" w:oddHBand="0" w:evenHBand="0" w:firstRowFirstColumn="0" w:firstRowLastColumn="0" w:lastRowFirstColumn="0" w:lastRowLastColumn="0"/>
            </w:pPr>
            <w:r>
              <w:t>Relevant Variable (s)</w:t>
            </w:r>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i/>
              </w:rPr>
            </w:pPr>
            <w:r w:rsidRPr="001050ED">
              <w:rPr>
                <w:i/>
              </w:rPr>
              <w:t>Individual</w:t>
            </w:r>
          </w:p>
        </w:tc>
        <w:tc>
          <w:tcPr>
            <w:tcW w:w="0" w:type="auto"/>
          </w:tcPr>
          <w:p w:rsidR="00A7579C" w:rsidRDefault="00A7579C" w:rsidP="00A7579C">
            <w:pPr>
              <w:cnfStyle w:val="000000000000" w:firstRow="0" w:lastRow="0" w:firstColumn="0" w:lastColumn="0" w:oddVBand="0" w:evenVBand="0" w:oddHBand="0" w:evenHBand="0" w:firstRowFirstColumn="0" w:firstRowLastColumn="0" w:lastRowFirstColumn="0" w:lastRowLastColumn="0"/>
            </w:pPr>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b w:val="0"/>
              </w:rPr>
            </w:pPr>
            <w:r>
              <w:rPr>
                <w:b w:val="0"/>
              </w:rPr>
              <w:t xml:space="preserve">First Year Enrolled </w:t>
            </w:r>
          </w:p>
        </w:tc>
        <w:tc>
          <w:tcPr>
            <w:tcW w:w="0" w:type="auto"/>
          </w:tcPr>
          <w:p w:rsidR="00A7579C" w:rsidRPr="0016355E" w:rsidRDefault="00A7579C" w:rsidP="00A7579C">
            <w:pPr>
              <w:cnfStyle w:val="000000000000" w:firstRow="0" w:lastRow="0" w:firstColumn="0" w:lastColumn="0" w:oddVBand="0" w:evenVBand="0" w:oddHBand="0" w:evenHBand="0" w:firstRowFirstColumn="0" w:firstRowLastColumn="0" w:lastRowFirstColumn="0" w:lastRowLastColumn="0"/>
            </w:pPr>
            <w:proofErr w:type="spellStart"/>
            <w:r>
              <w:t>EventYear</w:t>
            </w:r>
            <w:proofErr w:type="spellEnd"/>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Default="00A7579C" w:rsidP="00A7579C">
            <w:pPr>
              <w:rPr>
                <w:b w:val="0"/>
              </w:rPr>
            </w:pPr>
            <w:r>
              <w:rPr>
                <w:b w:val="0"/>
              </w:rPr>
              <w:t>Last Year Enrolled</w:t>
            </w:r>
          </w:p>
        </w:tc>
        <w:tc>
          <w:tcPr>
            <w:tcW w:w="0" w:type="auto"/>
          </w:tcPr>
          <w:p w:rsidR="00A7579C" w:rsidRDefault="00A7579C" w:rsidP="00A7579C">
            <w:pPr>
              <w:cnfStyle w:val="000000000000" w:firstRow="0" w:lastRow="0" w:firstColumn="0" w:lastColumn="0" w:oddVBand="0" w:evenVBand="0" w:oddHBand="0" w:evenHBand="0" w:firstRowFirstColumn="0" w:firstRowLastColumn="0" w:lastRowFirstColumn="0" w:lastRowLastColumn="0"/>
            </w:pPr>
            <w:proofErr w:type="spellStart"/>
            <w:r>
              <w:t>EventYear</w:t>
            </w:r>
            <w:proofErr w:type="spellEnd"/>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b w:val="0"/>
              </w:rPr>
            </w:pPr>
            <w:r w:rsidRPr="001050ED">
              <w:rPr>
                <w:b w:val="0"/>
              </w:rPr>
              <w:t>Number of subjects</w:t>
            </w:r>
          </w:p>
        </w:tc>
        <w:tc>
          <w:tcPr>
            <w:tcW w:w="0" w:type="auto"/>
          </w:tcPr>
          <w:p w:rsidR="00A7579C" w:rsidRPr="0016355E" w:rsidRDefault="00280310" w:rsidP="00A7579C">
            <w:pPr>
              <w:cnfStyle w:val="000000000000" w:firstRow="0" w:lastRow="0" w:firstColumn="0" w:lastColumn="0" w:oddVBand="0" w:evenVBand="0" w:oddHBand="0" w:evenHBand="0" w:firstRowFirstColumn="0" w:firstRowLastColumn="0" w:lastRowFirstColumn="0" w:lastRowLastColumn="0"/>
            </w:pPr>
            <w:proofErr w:type="spellStart"/>
            <w:r>
              <w:t>EventID</w:t>
            </w:r>
            <w:proofErr w:type="spellEnd"/>
            <w:r>
              <w:t xml:space="preserve"> defining unique subject</w:t>
            </w:r>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b w:val="0"/>
              </w:rPr>
            </w:pPr>
            <w:r w:rsidRPr="001050ED">
              <w:rPr>
                <w:b w:val="0"/>
              </w:rPr>
              <w:t>Age, mean</w:t>
            </w:r>
          </w:p>
        </w:tc>
        <w:tc>
          <w:tcPr>
            <w:tcW w:w="0" w:type="auto"/>
          </w:tcPr>
          <w:p w:rsidR="00A7579C" w:rsidRPr="0016355E" w:rsidRDefault="00A7579C" w:rsidP="00A7579C">
            <w:pPr>
              <w:cnfStyle w:val="000000000000" w:firstRow="0" w:lastRow="0" w:firstColumn="0" w:lastColumn="0" w:oddVBand="0" w:evenVBand="0" w:oddHBand="0" w:evenHBand="0" w:firstRowFirstColumn="0" w:firstRowLastColumn="0" w:lastRowFirstColumn="0" w:lastRowLastColumn="0"/>
            </w:pPr>
            <w:proofErr w:type="spellStart"/>
            <w:r>
              <w:t>ZEventAge</w:t>
            </w:r>
            <w:proofErr w:type="spellEnd"/>
            <w:r>
              <w:t xml:space="preserve"> (where </w:t>
            </w:r>
            <w:proofErr w:type="spellStart"/>
            <w:r>
              <w:t>ZEventAge</w:t>
            </w:r>
            <w:proofErr w:type="spellEnd"/>
            <w:r>
              <w:t xml:space="preserve"> &lt; 120)</w:t>
            </w:r>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b w:val="0"/>
              </w:rPr>
            </w:pPr>
            <w:r w:rsidRPr="001050ED">
              <w:rPr>
                <w:b w:val="0"/>
              </w:rPr>
              <w:t xml:space="preserve">Female, </w:t>
            </w:r>
            <w:r>
              <w:rPr>
                <w:b w:val="0"/>
              </w:rPr>
              <w:t>%</w:t>
            </w:r>
          </w:p>
        </w:tc>
        <w:tc>
          <w:tcPr>
            <w:tcW w:w="0" w:type="auto"/>
          </w:tcPr>
          <w:p w:rsidR="00A7579C" w:rsidRPr="0016355E" w:rsidRDefault="00A7579C" w:rsidP="00A7579C">
            <w:pPr>
              <w:cnfStyle w:val="000000000000" w:firstRow="0" w:lastRow="0" w:firstColumn="0" w:lastColumn="0" w:oddVBand="0" w:evenVBand="0" w:oddHBand="0" w:evenHBand="0" w:firstRowFirstColumn="0" w:firstRowLastColumn="0" w:lastRowFirstColumn="0" w:lastRowLastColumn="0"/>
            </w:pPr>
            <w:proofErr w:type="spellStart"/>
            <w:r>
              <w:t>ZGender</w:t>
            </w:r>
            <w:proofErr w:type="spellEnd"/>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b w:val="0"/>
              </w:rPr>
            </w:pPr>
            <w:r>
              <w:rPr>
                <w:b w:val="0"/>
              </w:rPr>
              <w:t>Arrest Witnessed</w:t>
            </w:r>
          </w:p>
        </w:tc>
        <w:tc>
          <w:tcPr>
            <w:tcW w:w="0" w:type="auto"/>
          </w:tcPr>
          <w:p w:rsidR="00A7579C" w:rsidRPr="0016355E" w:rsidRDefault="00A7579C" w:rsidP="00A7579C">
            <w:pPr>
              <w:cnfStyle w:val="000000000000" w:firstRow="0" w:lastRow="0" w:firstColumn="0" w:lastColumn="0" w:oddVBand="0" w:evenVBand="0" w:oddHBand="0" w:evenHBand="0" w:firstRowFirstColumn="0" w:firstRowLastColumn="0" w:lastRowFirstColumn="0" w:lastRowLastColumn="0"/>
            </w:pPr>
            <w:proofErr w:type="spellStart"/>
            <w:r>
              <w:t>ZWitness</w:t>
            </w:r>
            <w:proofErr w:type="spellEnd"/>
            <w:r>
              <w:t xml:space="preserve"> (where ‘Y’ indicates witnessed)</w:t>
            </w:r>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Default="00A7579C" w:rsidP="00A7579C">
            <w:pPr>
              <w:rPr>
                <w:b w:val="0"/>
              </w:rPr>
            </w:pPr>
            <w:r>
              <w:rPr>
                <w:b w:val="0"/>
              </w:rPr>
              <w:t>Survived 30 days after arrest, %</w:t>
            </w:r>
          </w:p>
        </w:tc>
        <w:tc>
          <w:tcPr>
            <w:tcW w:w="0" w:type="auto"/>
          </w:tcPr>
          <w:p w:rsidR="00A7579C" w:rsidRDefault="00597DAD" w:rsidP="00597DAD">
            <w:pPr>
              <w:cnfStyle w:val="000000000000" w:firstRow="0" w:lastRow="0" w:firstColumn="0" w:lastColumn="0" w:oddVBand="0" w:evenVBand="0" w:oddHBand="0" w:evenHBand="0" w:firstRowFirstColumn="0" w:firstRowLastColumn="0" w:lastRowFirstColumn="0" w:lastRowLastColumn="0"/>
            </w:pPr>
            <w:proofErr w:type="spellStart"/>
            <w:r>
              <w:t>EMS_outcome</w:t>
            </w:r>
            <w:proofErr w:type="spellEnd"/>
            <w:r>
              <w:t xml:space="preserve"> (where 1 indicates survived) </w:t>
            </w:r>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b w:val="0"/>
              </w:rPr>
            </w:pPr>
            <w:r>
              <w:rPr>
                <w:b w:val="0"/>
              </w:rPr>
              <w:t>Neighborhood</w:t>
            </w:r>
            <w:r w:rsidRPr="001050ED">
              <w:rPr>
                <w:b w:val="0"/>
              </w:rPr>
              <w:t xml:space="preserve"> Identified, </w:t>
            </w:r>
            <w:r>
              <w:rPr>
                <w:b w:val="0"/>
              </w:rPr>
              <w:t>%</w:t>
            </w:r>
          </w:p>
        </w:tc>
        <w:tc>
          <w:tcPr>
            <w:tcW w:w="0" w:type="auto"/>
          </w:tcPr>
          <w:p w:rsidR="00A7579C" w:rsidRPr="0016355E" w:rsidRDefault="00597DAD" w:rsidP="00A7579C">
            <w:pPr>
              <w:cnfStyle w:val="000000000000" w:firstRow="0" w:lastRow="0" w:firstColumn="0" w:lastColumn="0" w:oddVBand="0" w:evenVBand="0" w:oddHBand="0" w:evenHBand="0" w:firstRowFirstColumn="0" w:firstRowLastColumn="0" w:lastRowFirstColumn="0" w:lastRowLastColumn="0"/>
            </w:pPr>
            <w:r>
              <w:t xml:space="preserve">TRACT00L </w:t>
            </w:r>
            <w:r w:rsidR="00280310">
              <w:t xml:space="preserve">(where </w:t>
            </w:r>
            <w:r>
              <w:t>non-null</w:t>
            </w:r>
            <w:r w:rsidR="00280310">
              <w:t xml:space="preserve"> indicates identified)</w:t>
            </w:r>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i/>
              </w:rPr>
            </w:pPr>
            <w:r>
              <w:rPr>
                <w:i/>
              </w:rPr>
              <w:t>Home Census Tract</w:t>
            </w:r>
          </w:p>
        </w:tc>
        <w:tc>
          <w:tcPr>
            <w:tcW w:w="0" w:type="auto"/>
          </w:tcPr>
          <w:p w:rsidR="00A7579C" w:rsidRPr="0016355E" w:rsidRDefault="00A7579C" w:rsidP="00A7579C">
            <w:pPr>
              <w:cnfStyle w:val="000000000000" w:firstRow="0" w:lastRow="0" w:firstColumn="0" w:lastColumn="0" w:oddVBand="0" w:evenVBand="0" w:oddHBand="0" w:evenHBand="0" w:firstRowFirstColumn="0" w:firstRowLastColumn="0" w:lastRowFirstColumn="0" w:lastRowLastColumn="0"/>
            </w:pPr>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b w:val="0"/>
              </w:rPr>
            </w:pPr>
            <w:r w:rsidRPr="001050ED">
              <w:rPr>
                <w:b w:val="0"/>
              </w:rPr>
              <w:t>Per-capita Income, $</w:t>
            </w:r>
          </w:p>
        </w:tc>
        <w:tc>
          <w:tcPr>
            <w:tcW w:w="0" w:type="auto"/>
          </w:tcPr>
          <w:p w:rsidR="00A7579C" w:rsidRPr="0016355E" w:rsidRDefault="00597DAD" w:rsidP="00A7579C">
            <w:pPr>
              <w:cnfStyle w:val="000000000000" w:firstRow="0" w:lastRow="0" w:firstColumn="0" w:lastColumn="0" w:oddVBand="0" w:evenVBand="0" w:oddHBand="0" w:evenHBand="0" w:firstRowFirstColumn="0" w:firstRowLastColumn="0" w:lastRowFirstColumn="0" w:lastRowLastColumn="0"/>
            </w:pPr>
            <w:proofErr w:type="spellStart"/>
            <w:r>
              <w:t>pcincome</w:t>
            </w:r>
            <w:proofErr w:type="spellEnd"/>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b w:val="0"/>
              </w:rPr>
            </w:pPr>
            <w:r w:rsidRPr="001050ED">
              <w:rPr>
                <w:b w:val="0"/>
              </w:rPr>
              <w:t>Healthy Food Outlets, median</w:t>
            </w:r>
          </w:p>
        </w:tc>
        <w:tc>
          <w:tcPr>
            <w:tcW w:w="0" w:type="auto"/>
          </w:tcPr>
          <w:p w:rsidR="00A7579C" w:rsidRPr="0016355E" w:rsidRDefault="00597DAD" w:rsidP="00A7579C">
            <w:pPr>
              <w:cnfStyle w:val="000000000000" w:firstRow="0" w:lastRow="0" w:firstColumn="0" w:lastColumn="0" w:oddVBand="0" w:evenVBand="0" w:oddHBand="0" w:evenHBand="0" w:firstRowFirstColumn="0" w:firstRowLastColumn="0" w:lastRowFirstColumn="0" w:lastRowLastColumn="0"/>
            </w:pPr>
            <w:proofErr w:type="spellStart"/>
            <w:r>
              <w:t>tn_MOD_col_h</w:t>
            </w:r>
            <w:proofErr w:type="spellEnd"/>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b w:val="0"/>
              </w:rPr>
            </w:pPr>
            <w:r>
              <w:rPr>
                <w:b w:val="0"/>
              </w:rPr>
              <w:t>Fish Markets, median</w:t>
            </w:r>
          </w:p>
        </w:tc>
        <w:tc>
          <w:tcPr>
            <w:tcW w:w="0" w:type="auto"/>
          </w:tcPr>
          <w:p w:rsidR="00A7579C" w:rsidRDefault="00597DAD" w:rsidP="00A7579C">
            <w:pPr>
              <w:cnfStyle w:val="000000000000" w:firstRow="0" w:lastRow="0" w:firstColumn="0" w:lastColumn="0" w:oddVBand="0" w:evenVBand="0" w:oddHBand="0" w:evenHBand="0" w:firstRowFirstColumn="0" w:firstRowLastColumn="0" w:lastRowFirstColumn="0" w:lastRowLastColumn="0"/>
            </w:pPr>
            <w:proofErr w:type="spellStart"/>
            <w:r w:rsidRPr="00597DAD">
              <w:t>tn_FSH_OV_col_h_for_event_year</w:t>
            </w:r>
            <w:proofErr w:type="spellEnd"/>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1050ED" w:rsidRDefault="00A7579C" w:rsidP="00A7579C">
            <w:pPr>
              <w:rPr>
                <w:b w:val="0"/>
              </w:rPr>
            </w:pPr>
            <w:r w:rsidRPr="001050ED">
              <w:rPr>
                <w:b w:val="0"/>
              </w:rPr>
              <w:t>Unhealthy Food Outlets, median</w:t>
            </w:r>
          </w:p>
        </w:tc>
        <w:tc>
          <w:tcPr>
            <w:tcW w:w="0" w:type="auto"/>
          </w:tcPr>
          <w:p w:rsidR="00A7579C" w:rsidRDefault="00597DAD" w:rsidP="00A7579C">
            <w:pPr>
              <w:cnfStyle w:val="000000000000" w:firstRow="0" w:lastRow="0" w:firstColumn="0" w:lastColumn="0" w:oddVBand="0" w:evenVBand="0" w:oddHBand="0" w:evenHBand="0" w:firstRowFirstColumn="0" w:firstRowLastColumn="0" w:lastRowFirstColumn="0" w:lastRowLastColumn="0"/>
            </w:pPr>
            <w:proofErr w:type="spellStart"/>
            <w:r w:rsidRPr="00597DAD">
              <w:t>tn_UHY_col_h</w:t>
            </w:r>
            <w:proofErr w:type="spellEnd"/>
          </w:p>
        </w:tc>
      </w:tr>
      <w:tr w:rsidR="00A7579C" w:rsidTr="00597DAD">
        <w:tc>
          <w:tcPr>
            <w:cnfStyle w:val="001000000000" w:firstRow="0" w:lastRow="0" w:firstColumn="1" w:lastColumn="0" w:oddVBand="0" w:evenVBand="0" w:oddHBand="0" w:evenHBand="0" w:firstRowFirstColumn="0" w:firstRowLastColumn="0" w:lastRowFirstColumn="0" w:lastRowLastColumn="0"/>
            <w:tcW w:w="0" w:type="auto"/>
          </w:tcPr>
          <w:p w:rsidR="00A7579C" w:rsidRPr="00406CF0" w:rsidRDefault="00A7579C" w:rsidP="00A7579C">
            <w:r w:rsidRPr="00406CF0">
              <w:t>5 km buffer from Home Census Tract Centroid</w:t>
            </w:r>
          </w:p>
        </w:tc>
        <w:tc>
          <w:tcPr>
            <w:tcW w:w="0" w:type="auto"/>
          </w:tcPr>
          <w:p w:rsidR="00A7579C" w:rsidRPr="00406CF0" w:rsidRDefault="00A7579C" w:rsidP="00A7579C">
            <w:pPr>
              <w:cnfStyle w:val="000000000000" w:firstRow="0" w:lastRow="0" w:firstColumn="0" w:lastColumn="0" w:oddVBand="0" w:evenVBand="0" w:oddHBand="0" w:evenHBand="0" w:firstRowFirstColumn="0" w:firstRowLastColumn="0" w:lastRowFirstColumn="0" w:lastRowLastColumn="0"/>
              <w:rPr>
                <w:b/>
              </w:rPr>
            </w:pPr>
          </w:p>
        </w:tc>
      </w:tr>
      <w:tr w:rsidR="00597DAD" w:rsidTr="00597DAD">
        <w:tc>
          <w:tcPr>
            <w:cnfStyle w:val="001000000000" w:firstRow="0" w:lastRow="0" w:firstColumn="1" w:lastColumn="0" w:oddVBand="0" w:evenVBand="0" w:oddHBand="0" w:evenHBand="0" w:firstRowFirstColumn="0" w:firstRowLastColumn="0" w:lastRowFirstColumn="0" w:lastRowLastColumn="0"/>
            <w:tcW w:w="0" w:type="auto"/>
          </w:tcPr>
          <w:p w:rsidR="00597DAD" w:rsidRPr="001050ED" w:rsidRDefault="00597DAD" w:rsidP="00A7579C">
            <w:pPr>
              <w:rPr>
                <w:b w:val="0"/>
              </w:rPr>
            </w:pPr>
            <w:r w:rsidRPr="001050ED">
              <w:rPr>
                <w:b w:val="0"/>
              </w:rPr>
              <w:t>Healthy Food Outlets, median</w:t>
            </w:r>
          </w:p>
        </w:tc>
        <w:tc>
          <w:tcPr>
            <w:tcW w:w="0" w:type="auto"/>
          </w:tcPr>
          <w:p w:rsidR="00597DAD" w:rsidRPr="0016355E" w:rsidRDefault="00597DAD" w:rsidP="00936C93">
            <w:pPr>
              <w:cnfStyle w:val="000000000000" w:firstRow="0" w:lastRow="0" w:firstColumn="0" w:lastColumn="0" w:oddVBand="0" w:evenVBand="0" w:oddHBand="0" w:evenHBand="0" w:firstRowFirstColumn="0" w:firstRowLastColumn="0" w:lastRowFirstColumn="0" w:lastRowLastColumn="0"/>
            </w:pPr>
            <w:proofErr w:type="spellStart"/>
            <w:r>
              <w:t>bn_MOD_col_h</w:t>
            </w:r>
            <w:proofErr w:type="spellEnd"/>
          </w:p>
        </w:tc>
      </w:tr>
      <w:tr w:rsidR="00597DAD" w:rsidTr="00597DAD">
        <w:tc>
          <w:tcPr>
            <w:cnfStyle w:val="001000000000" w:firstRow="0" w:lastRow="0" w:firstColumn="1" w:lastColumn="0" w:oddVBand="0" w:evenVBand="0" w:oddHBand="0" w:evenHBand="0" w:firstRowFirstColumn="0" w:firstRowLastColumn="0" w:lastRowFirstColumn="0" w:lastRowLastColumn="0"/>
            <w:tcW w:w="0" w:type="auto"/>
          </w:tcPr>
          <w:p w:rsidR="00597DAD" w:rsidRPr="001050ED" w:rsidRDefault="00597DAD" w:rsidP="00A7579C">
            <w:pPr>
              <w:rPr>
                <w:b w:val="0"/>
              </w:rPr>
            </w:pPr>
            <w:r>
              <w:rPr>
                <w:b w:val="0"/>
              </w:rPr>
              <w:t>Fish Markets, median</w:t>
            </w:r>
          </w:p>
        </w:tc>
        <w:tc>
          <w:tcPr>
            <w:tcW w:w="0" w:type="auto"/>
          </w:tcPr>
          <w:p w:rsidR="00597DAD" w:rsidRDefault="00597DAD" w:rsidP="00936C93">
            <w:pPr>
              <w:cnfStyle w:val="000000000000" w:firstRow="0" w:lastRow="0" w:firstColumn="0" w:lastColumn="0" w:oddVBand="0" w:evenVBand="0" w:oddHBand="0" w:evenHBand="0" w:firstRowFirstColumn="0" w:firstRowLastColumn="0" w:lastRowFirstColumn="0" w:lastRowLastColumn="0"/>
            </w:pPr>
            <w:proofErr w:type="spellStart"/>
            <w:r>
              <w:t>b</w:t>
            </w:r>
            <w:r w:rsidRPr="00597DAD">
              <w:t>n_FSH_OV_col_h_for_event_year</w:t>
            </w:r>
            <w:proofErr w:type="spellEnd"/>
          </w:p>
        </w:tc>
      </w:tr>
      <w:tr w:rsidR="00597DAD" w:rsidTr="00597DAD">
        <w:tc>
          <w:tcPr>
            <w:cnfStyle w:val="001000000000" w:firstRow="0" w:lastRow="0" w:firstColumn="1" w:lastColumn="0" w:oddVBand="0" w:evenVBand="0" w:oddHBand="0" w:evenHBand="0" w:firstRowFirstColumn="0" w:firstRowLastColumn="0" w:lastRowFirstColumn="0" w:lastRowLastColumn="0"/>
            <w:tcW w:w="0" w:type="auto"/>
          </w:tcPr>
          <w:p w:rsidR="00597DAD" w:rsidRPr="001050ED" w:rsidRDefault="00597DAD" w:rsidP="00A7579C">
            <w:pPr>
              <w:rPr>
                <w:b w:val="0"/>
              </w:rPr>
            </w:pPr>
            <w:r w:rsidRPr="001050ED">
              <w:rPr>
                <w:b w:val="0"/>
              </w:rPr>
              <w:t>Unhealthy Food Outlets, median</w:t>
            </w:r>
          </w:p>
        </w:tc>
        <w:tc>
          <w:tcPr>
            <w:tcW w:w="0" w:type="auto"/>
          </w:tcPr>
          <w:p w:rsidR="00597DAD" w:rsidRDefault="00597DAD" w:rsidP="00936C93">
            <w:pPr>
              <w:cnfStyle w:val="000000000000" w:firstRow="0" w:lastRow="0" w:firstColumn="0" w:lastColumn="0" w:oddVBand="0" w:evenVBand="0" w:oddHBand="0" w:evenHBand="0" w:firstRowFirstColumn="0" w:firstRowLastColumn="0" w:lastRowFirstColumn="0" w:lastRowLastColumn="0"/>
            </w:pPr>
            <w:proofErr w:type="spellStart"/>
            <w:r>
              <w:t>b</w:t>
            </w:r>
            <w:r w:rsidRPr="00597DAD">
              <w:t>n_UHY_col_h</w:t>
            </w:r>
            <w:proofErr w:type="spellEnd"/>
          </w:p>
        </w:tc>
      </w:tr>
    </w:tbl>
    <w:p w:rsidR="00A7579C" w:rsidRPr="00A7579C" w:rsidRDefault="00A7579C" w:rsidP="00A7579C"/>
    <w:p w:rsidR="00286C47" w:rsidRDefault="00286C47">
      <w:r>
        <w:br w:type="page"/>
      </w:r>
    </w:p>
    <w:p w:rsidR="00D367AF" w:rsidRDefault="00D367AF" w:rsidP="007A048A">
      <w:pPr>
        <w:rPr>
          <w:b/>
        </w:rPr>
      </w:pPr>
      <w:proofErr w:type="gramStart"/>
      <w:r>
        <w:rPr>
          <w:b/>
        </w:rPr>
        <w:lastRenderedPageBreak/>
        <w:t>Table 2</w:t>
      </w:r>
      <w:r w:rsidR="00286C47">
        <w:rPr>
          <w:b/>
        </w:rPr>
        <w:t>.</w:t>
      </w:r>
      <w:proofErr w:type="gramEnd"/>
      <w:r w:rsidR="00286C47">
        <w:rPr>
          <w:b/>
        </w:rPr>
        <w:t xml:space="preserve"> Neighborhood environment</w:t>
      </w:r>
      <w:r w:rsidR="00640D79">
        <w:rPr>
          <w:b/>
        </w:rPr>
        <w:t>s</w:t>
      </w:r>
      <w:r w:rsidR="00286C47">
        <w:rPr>
          <w:b/>
        </w:rPr>
        <w:t xml:space="preserve"> as related to case status, stratified by SES</w:t>
      </w:r>
      <w:r w:rsidR="00640D79">
        <w:rPr>
          <w:b/>
        </w:rPr>
        <w:t xml:space="preserve"> for 807 controls and 899 cases considered ‘comparable’ in Table 1</w:t>
      </w:r>
      <w:r w:rsidR="00D64FCE">
        <w:rPr>
          <w:b/>
        </w:rPr>
        <w:t xml:space="preserve"> (</w:t>
      </w:r>
      <w:r w:rsidR="00D64FCE" w:rsidRPr="00D64FCE">
        <w:rPr>
          <w:b/>
          <w:color w:val="FF0000"/>
        </w:rPr>
        <w:t>Columns 1 and 2</w:t>
      </w:r>
      <w:r w:rsidR="00D64FCE">
        <w:rPr>
          <w:b/>
        </w:rPr>
        <w:t>)</w:t>
      </w:r>
      <w:r w:rsidR="00640D79">
        <w:rPr>
          <w:b/>
        </w:rPr>
        <w:t xml:space="preserve">.  All analyses z-transform count of institutions and control for age, year of event, and gender. </w:t>
      </w:r>
    </w:p>
    <w:p w:rsidR="00286C47" w:rsidRPr="00D367AF" w:rsidRDefault="00640D79" w:rsidP="007A048A">
      <w:pPr>
        <w:rPr>
          <w:b/>
          <w:highlight w:val="yellow"/>
        </w:rPr>
      </w:pPr>
      <w:r w:rsidRPr="00D367AF">
        <w:rPr>
          <w:b/>
          <w:highlight w:val="yellow"/>
        </w:rPr>
        <w:t>Financial institutions are included here as a positive control – financial institutions may be a marker of neighborhood SES but should not be causally related to cardiac arrest</w:t>
      </w:r>
      <w:r w:rsidR="006B4E42" w:rsidRPr="00D367AF">
        <w:rPr>
          <w:b/>
          <w:highlight w:val="yellow"/>
        </w:rPr>
        <w:t>, though of course they may be correlated with truly causal factors</w:t>
      </w:r>
      <w:r w:rsidR="00D367AF" w:rsidRPr="00D367AF">
        <w:rPr>
          <w:b/>
          <w:highlight w:val="yellow"/>
        </w:rPr>
        <w:t xml:space="preserve"> – we might  consider moving financial institutions to supplementary material to minimize reader confusion</w:t>
      </w:r>
      <w:r w:rsidRPr="00D367AF">
        <w:rPr>
          <w:b/>
          <w:highlight w:val="yellow"/>
        </w:rPr>
        <w:t>.</w:t>
      </w:r>
    </w:p>
    <w:p w:rsidR="00D367AF" w:rsidRDefault="00D367AF" w:rsidP="007A048A">
      <w:pPr>
        <w:rPr>
          <w:b/>
        </w:rPr>
      </w:pPr>
      <w:r w:rsidRPr="00D367AF">
        <w:rPr>
          <w:b/>
          <w:highlight w:val="yellow"/>
        </w:rPr>
        <w:t>Similarly, we may want to pick either 5km buffers (my preference) or census tracts to report in the main paper and leave the other to the supplement</w:t>
      </w:r>
    </w:p>
    <w:tbl>
      <w:tblPr>
        <w:tblStyle w:val="LightShading"/>
        <w:tblW w:w="0" w:type="auto"/>
        <w:tblLook w:val="06A0" w:firstRow="1" w:lastRow="0" w:firstColumn="1" w:lastColumn="0" w:noHBand="1" w:noVBand="1"/>
      </w:tblPr>
      <w:tblGrid>
        <w:gridCol w:w="4524"/>
        <w:gridCol w:w="2268"/>
        <w:gridCol w:w="1217"/>
        <w:gridCol w:w="1217"/>
      </w:tblGrid>
      <w:tr w:rsidR="00D40D5A" w:rsidTr="0064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323E" w:rsidRPr="0041323E" w:rsidRDefault="0041323E" w:rsidP="007A048A">
            <w:r>
              <w:t>Exposure</w:t>
            </w:r>
          </w:p>
        </w:tc>
        <w:tc>
          <w:tcPr>
            <w:tcW w:w="0" w:type="auto"/>
          </w:tcPr>
          <w:p w:rsidR="00D40D5A" w:rsidRDefault="0041323E" w:rsidP="0041323E">
            <w:pPr>
              <w:jc w:val="center"/>
              <w:cnfStyle w:val="100000000000" w:firstRow="1" w:lastRow="0" w:firstColumn="0" w:lastColumn="0" w:oddVBand="0" w:evenVBand="0" w:oddHBand="0" w:evenHBand="0" w:firstRowFirstColumn="0" w:firstRowLastColumn="0" w:lastRowFirstColumn="0" w:lastRowLastColumn="0"/>
            </w:pPr>
            <w:r>
              <w:t>Odds Ratio</w:t>
            </w:r>
            <w:r w:rsidR="00D40D5A">
              <w:t xml:space="preserve"> per z-score</w:t>
            </w:r>
          </w:p>
          <w:p w:rsidR="0041323E" w:rsidRPr="0041323E" w:rsidRDefault="00D40D5A" w:rsidP="0041323E">
            <w:pPr>
              <w:jc w:val="center"/>
              <w:cnfStyle w:val="100000000000" w:firstRow="1" w:lastRow="0" w:firstColumn="0" w:lastColumn="0" w:oddVBand="0" w:evenVBand="0" w:oddHBand="0" w:evenHBand="0" w:firstRowFirstColumn="0" w:firstRowLastColumn="0" w:lastRowFirstColumn="0" w:lastRowLastColumn="0"/>
            </w:pPr>
            <w:r>
              <w:t xml:space="preserve"> increase in exposure</w:t>
            </w:r>
          </w:p>
        </w:tc>
        <w:tc>
          <w:tcPr>
            <w:tcW w:w="0" w:type="auto"/>
            <w:gridSpan w:val="2"/>
          </w:tcPr>
          <w:p w:rsidR="0041323E" w:rsidRDefault="0041323E" w:rsidP="0041323E">
            <w:pPr>
              <w:jc w:val="center"/>
              <w:cnfStyle w:val="100000000000" w:firstRow="1" w:lastRow="0" w:firstColumn="0" w:lastColumn="0" w:oddVBand="0" w:evenVBand="0" w:oddHBand="0" w:evenHBand="0" w:firstRowFirstColumn="0" w:firstRowLastColumn="0" w:lastRowFirstColumn="0" w:lastRowLastColumn="0"/>
              <w:rPr>
                <w:vertAlign w:val="superscript"/>
              </w:rPr>
            </w:pPr>
            <w:r>
              <w:t>95% Confidence Interval</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Default="0041323E" w:rsidP="007A048A">
            <w:pPr>
              <w:rPr>
                <w:vertAlign w:val="superscript"/>
              </w:rPr>
            </w:pPr>
            <w:r>
              <w:t>Healthy Food Sources in 5km Buffer</w:t>
            </w:r>
            <w:r w:rsidRPr="0041323E">
              <w:rPr>
                <w:vertAlign w:val="superscript"/>
              </w:rPr>
              <w:t>1</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Pr="0041323E" w:rsidRDefault="0041323E" w:rsidP="007A048A">
            <w:r>
              <w:t xml:space="preserve">  Lowest Income Quartile</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1.73</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3.25</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Pr="0041323E" w:rsidRDefault="0041323E" w:rsidP="007A048A">
            <w:r>
              <w:t xml:space="preserve">  Highest Income Quartile</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Default="0041323E" w:rsidP="0041323E"/>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Default="0041323E" w:rsidP="0041323E">
            <w:pPr>
              <w:rPr>
                <w:vertAlign w:val="superscript"/>
              </w:rPr>
            </w:pPr>
            <w:r>
              <w:t>Unhealthy Food Sources in 5km Buffer</w:t>
            </w:r>
            <w:r w:rsidR="00640D79">
              <w:rPr>
                <w:vertAlign w:val="superscript"/>
              </w:rPr>
              <w:t>2</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Pr="0041323E" w:rsidRDefault="0041323E" w:rsidP="00704BF6">
            <w:r>
              <w:t xml:space="preserve">  Lowest Income Quartile</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2.32</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Pr="0041323E" w:rsidRDefault="0041323E" w:rsidP="00704BF6">
            <w:r>
              <w:t xml:space="preserve">  Highest Income Quartile</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Default="0041323E" w:rsidP="00704BF6"/>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vertAlign w:val="superscript"/>
              </w:rPr>
            </w:pP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vertAlign w:val="superscript"/>
              </w:rPr>
            </w:pP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vertAlign w:val="superscript"/>
              </w:rPr>
            </w:pP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Default="0041323E" w:rsidP="00704BF6">
            <w:r>
              <w:t>Financial Institutions in 5km Buffer</w:t>
            </w:r>
            <w:r w:rsidR="00640D79" w:rsidRPr="00640D79">
              <w:rPr>
                <w:vertAlign w:val="superscript"/>
              </w:rPr>
              <w:t>3</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1.68</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Pr="0041323E" w:rsidRDefault="0041323E" w:rsidP="00704BF6">
            <w:r>
              <w:t xml:space="preserve">  Lowest Income Quartile</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2.34</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41323E" w:rsidRPr="0041323E" w:rsidRDefault="0041323E" w:rsidP="00704BF6">
            <w:r>
              <w:t xml:space="preserve">  Highest Income Quartile</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w:t>
            </w:r>
          </w:p>
        </w:tc>
        <w:tc>
          <w:tcPr>
            <w:tcW w:w="0" w:type="auto"/>
          </w:tcPr>
          <w:p w:rsidR="0041323E" w:rsidRDefault="0041323E"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1.73</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Default="00640D79" w:rsidP="00704BF6"/>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Default="00640D79" w:rsidP="00640D79">
            <w:pPr>
              <w:rPr>
                <w:vertAlign w:val="superscript"/>
              </w:rPr>
            </w:pPr>
            <w:r>
              <w:t>Healthy Food Sources in Home Census Tract</w:t>
            </w:r>
            <w:r w:rsidRPr="0041323E">
              <w:rPr>
                <w:vertAlign w:val="superscript"/>
              </w:rPr>
              <w:t>1</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1.24</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Pr="0041323E" w:rsidRDefault="00640D79" w:rsidP="00704BF6">
            <w:r>
              <w:t xml:space="preserve">  Lowest Income Quartile</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1.09</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Pr="0041323E" w:rsidRDefault="00640D79" w:rsidP="00704BF6">
            <w:r>
              <w:t xml:space="preserve">  Highest Income Quartile</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Default="00640D79" w:rsidP="00704BF6"/>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Default="00640D79" w:rsidP="00640D79">
            <w:pPr>
              <w:rPr>
                <w:vertAlign w:val="superscript"/>
              </w:rPr>
            </w:pPr>
            <w:r>
              <w:t>Unhealthy Food Sources in Home Census Tract</w:t>
            </w:r>
            <w:r>
              <w:rPr>
                <w:vertAlign w:val="superscript"/>
              </w:rPr>
              <w:t>2</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1.68</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2.42</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Pr="0041323E" w:rsidRDefault="00640D79" w:rsidP="00704BF6">
            <w:r>
              <w:t xml:space="preserve">  Lowest Income Quartile</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2.68</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Pr="0041323E" w:rsidRDefault="00640D79" w:rsidP="00704BF6">
            <w:r>
              <w:t xml:space="preserve">  Highest Income Quartile</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2.02</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Default="00640D79" w:rsidP="00704BF6"/>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Default="00640D79" w:rsidP="00704BF6">
            <w:r>
              <w:t>Financial Institutions in Home Census Tract</w:t>
            </w:r>
            <w:r>
              <w:rPr>
                <w:vertAlign w:val="superscript"/>
              </w:rPr>
              <w:t>3</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1.17</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Pr="0041323E" w:rsidRDefault="00640D79" w:rsidP="00704BF6">
            <w:r>
              <w:t xml:space="preserve">  Lowest Income Quartile</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w:t>
            </w:r>
          </w:p>
        </w:tc>
      </w:tr>
      <w:tr w:rsidR="00D40D5A" w:rsidTr="00640D79">
        <w:tc>
          <w:tcPr>
            <w:cnfStyle w:val="001000000000" w:firstRow="0" w:lastRow="0" w:firstColumn="1" w:lastColumn="0" w:oddVBand="0" w:evenVBand="0" w:oddHBand="0" w:evenHBand="0" w:firstRowFirstColumn="0" w:firstRowLastColumn="0" w:lastRowFirstColumn="0" w:lastRowLastColumn="0"/>
            <w:tcW w:w="0" w:type="auto"/>
          </w:tcPr>
          <w:p w:rsidR="00640D79" w:rsidRPr="0041323E" w:rsidRDefault="00640D79" w:rsidP="00704BF6">
            <w:r>
              <w:t xml:space="preserve">  Highest Income Quartile</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w:t>
            </w:r>
          </w:p>
        </w:tc>
        <w:tc>
          <w:tcPr>
            <w:tcW w:w="0" w:type="auto"/>
          </w:tcPr>
          <w:p w:rsidR="00640D79" w:rsidRDefault="00640D79"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w:t>
            </w:r>
          </w:p>
        </w:tc>
      </w:tr>
    </w:tbl>
    <w:p w:rsidR="00640D79" w:rsidRDefault="0041323E" w:rsidP="00640D79">
      <w:pPr>
        <w:spacing w:after="0"/>
      </w:pPr>
      <w:r>
        <w:rPr>
          <w:vertAlign w:val="superscript"/>
        </w:rPr>
        <w:t>1</w:t>
      </w:r>
      <w:r>
        <w:t>Supermarkets, Produce Markets, Natural Food Stores, Nut Stores, and Fish Markets</w:t>
      </w:r>
    </w:p>
    <w:p w:rsidR="00640D79" w:rsidRDefault="00640D79" w:rsidP="00640D79">
      <w:pPr>
        <w:spacing w:after="0"/>
      </w:pPr>
      <w:r>
        <w:rPr>
          <w:vertAlign w:val="superscript"/>
        </w:rPr>
        <w:t>2</w:t>
      </w:r>
      <w:r>
        <w:t>Fast Food Stores, Pizza Restaurants, Bakeries, Convenience Stores, and Meat Markets</w:t>
      </w:r>
    </w:p>
    <w:p w:rsidR="00640D79" w:rsidRDefault="00640D79" w:rsidP="00640D79">
      <w:pPr>
        <w:spacing w:after="0"/>
      </w:pPr>
      <w:r>
        <w:rPr>
          <w:vertAlign w:val="superscript"/>
        </w:rPr>
        <w:t>3</w:t>
      </w:r>
      <w:r>
        <w:t>Banks and Credit Unions</w:t>
      </w:r>
    </w:p>
    <w:p w:rsidR="00640D79" w:rsidRDefault="00640D79" w:rsidP="00640D79">
      <w:pPr>
        <w:spacing w:after="0"/>
      </w:pPr>
    </w:p>
    <w:p w:rsidR="00704BF6" w:rsidRDefault="00704BF6" w:rsidP="007A048A">
      <w:pPr>
        <w:sectPr w:rsidR="00704BF6" w:rsidSect="0073053A">
          <w:pgSz w:w="12240" w:h="15840"/>
          <w:pgMar w:top="1440" w:right="1440" w:bottom="1440" w:left="1440" w:header="720" w:footer="720" w:gutter="0"/>
          <w:cols w:space="720"/>
          <w:docGrid w:linePitch="360"/>
        </w:sectPr>
      </w:pPr>
    </w:p>
    <w:p w:rsidR="00D367AF" w:rsidRDefault="00D367AF" w:rsidP="00D40D5A">
      <w:pPr>
        <w:rPr>
          <w:b/>
        </w:rPr>
      </w:pPr>
      <w:proofErr w:type="gramStart"/>
      <w:r>
        <w:rPr>
          <w:b/>
        </w:rPr>
        <w:lastRenderedPageBreak/>
        <w:t>Table 3</w:t>
      </w:r>
      <w:r w:rsidR="00D40D5A" w:rsidRPr="00D40D5A">
        <w:rPr>
          <w:b/>
        </w:rPr>
        <w:t>.</w:t>
      </w:r>
      <w:proofErr w:type="gramEnd"/>
      <w:r w:rsidR="00D40D5A">
        <w:rPr>
          <w:b/>
        </w:rPr>
        <w:t xml:space="preserve"> </w:t>
      </w:r>
      <w:proofErr w:type="gramStart"/>
      <w:r w:rsidR="00D40D5A">
        <w:rPr>
          <w:b/>
        </w:rPr>
        <w:t>Neighborhood environments as related to dietary biomarker, for 1613</w:t>
      </w:r>
      <w:r w:rsidR="00280310">
        <w:rPr>
          <w:b/>
        </w:rPr>
        <w:t xml:space="preserve"> cases</w:t>
      </w:r>
      <w:r w:rsidR="00D40D5A">
        <w:rPr>
          <w:b/>
        </w:rPr>
        <w:t xml:space="preserve"> for whom we had both biomarker and neighborhood data available</w:t>
      </w:r>
      <w:r w:rsidR="00D64FCE">
        <w:rPr>
          <w:b/>
        </w:rPr>
        <w:t xml:space="preserve"> (</w:t>
      </w:r>
      <w:r w:rsidR="00D64FCE" w:rsidRPr="00D64FCE">
        <w:rPr>
          <w:b/>
          <w:color w:val="FF0000"/>
        </w:rPr>
        <w:t>a subset of Table 1, Column 3</w:t>
      </w:r>
      <w:r w:rsidR="00D64FCE">
        <w:rPr>
          <w:b/>
        </w:rPr>
        <w:t>)</w:t>
      </w:r>
      <w:r w:rsidR="00D40D5A">
        <w:rPr>
          <w:b/>
        </w:rPr>
        <w:t>.</w:t>
      </w:r>
      <w:proofErr w:type="gramEnd"/>
      <w:r w:rsidR="00D40D5A">
        <w:rPr>
          <w:b/>
        </w:rPr>
        <w:t xml:space="preserve">  All analyses z-transform count of institutions and control for age, year of event, and gender.  </w:t>
      </w:r>
    </w:p>
    <w:p w:rsidR="00D40D5A" w:rsidRDefault="00D40D5A" w:rsidP="00D40D5A">
      <w:pPr>
        <w:rPr>
          <w:b/>
        </w:rPr>
      </w:pPr>
      <w:r w:rsidRPr="00D367AF">
        <w:rPr>
          <w:b/>
          <w:highlight w:val="yellow"/>
        </w:rPr>
        <w:t>Financial institutions are again included here as a positive control</w:t>
      </w:r>
      <w:r w:rsidR="00D367AF" w:rsidRPr="00D367AF">
        <w:rPr>
          <w:b/>
          <w:highlight w:val="yellow"/>
        </w:rPr>
        <w:t>, and again we might consider moving them to supplementary material</w:t>
      </w:r>
      <w:r w:rsidRPr="00D367AF">
        <w:rPr>
          <w:b/>
          <w:highlight w:val="yellow"/>
        </w:rPr>
        <w:t>.</w:t>
      </w:r>
    </w:p>
    <w:tbl>
      <w:tblPr>
        <w:tblStyle w:val="LightShading"/>
        <w:tblW w:w="5000" w:type="pct"/>
        <w:tblLook w:val="06A0" w:firstRow="1" w:lastRow="0" w:firstColumn="1" w:lastColumn="0" w:noHBand="1" w:noVBand="1"/>
      </w:tblPr>
      <w:tblGrid>
        <w:gridCol w:w="4697"/>
        <w:gridCol w:w="1168"/>
        <w:gridCol w:w="717"/>
        <w:gridCol w:w="807"/>
        <w:gridCol w:w="1077"/>
        <w:gridCol w:w="990"/>
        <w:gridCol w:w="797"/>
        <w:gridCol w:w="1052"/>
        <w:gridCol w:w="987"/>
        <w:gridCol w:w="884"/>
      </w:tblGrid>
      <w:tr w:rsidR="00704BF6" w:rsidTr="00704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tcBorders>
              <w:bottom w:val="nil"/>
            </w:tcBorders>
          </w:tcPr>
          <w:p w:rsidR="00D40D5A" w:rsidRDefault="00D40D5A"/>
        </w:tc>
        <w:tc>
          <w:tcPr>
            <w:tcW w:w="1024" w:type="pct"/>
            <w:gridSpan w:val="3"/>
            <w:tcBorders>
              <w:bottom w:val="nil"/>
            </w:tcBorders>
          </w:tcPr>
          <w:p w:rsidR="00D40D5A" w:rsidRDefault="00D40D5A" w:rsidP="00704BF6">
            <w:pPr>
              <w:jc w:val="center"/>
              <w:cnfStyle w:val="100000000000" w:firstRow="1" w:lastRow="0" w:firstColumn="0" w:lastColumn="0" w:oddVBand="0" w:evenVBand="0" w:oddHBand="0" w:evenHBand="0" w:firstRowFirstColumn="0" w:firstRowLastColumn="0" w:lastRowFirstColumn="0" w:lastRowLastColumn="0"/>
            </w:pPr>
            <w:r>
              <w:t>Trans Fats</w:t>
            </w:r>
          </w:p>
        </w:tc>
        <w:tc>
          <w:tcPr>
            <w:tcW w:w="1088" w:type="pct"/>
            <w:gridSpan w:val="3"/>
            <w:tcBorders>
              <w:bottom w:val="nil"/>
            </w:tcBorders>
          </w:tcPr>
          <w:p w:rsidR="00D40D5A" w:rsidRDefault="00D40D5A" w:rsidP="00704BF6">
            <w:pPr>
              <w:jc w:val="center"/>
              <w:cnfStyle w:val="100000000000" w:firstRow="1" w:lastRow="0" w:firstColumn="0" w:lastColumn="0" w:oddVBand="0" w:evenVBand="0" w:oddHBand="0" w:evenHBand="0" w:firstRowFirstColumn="0" w:firstRowLastColumn="0" w:lastRowFirstColumn="0" w:lastRowLastColumn="0"/>
            </w:pPr>
            <w:r>
              <w:t>EPA</w:t>
            </w:r>
          </w:p>
        </w:tc>
        <w:tc>
          <w:tcPr>
            <w:tcW w:w="1105" w:type="pct"/>
            <w:gridSpan w:val="3"/>
            <w:tcBorders>
              <w:bottom w:val="nil"/>
            </w:tcBorders>
          </w:tcPr>
          <w:p w:rsidR="00D40D5A" w:rsidRDefault="00D40D5A" w:rsidP="00704BF6">
            <w:pPr>
              <w:jc w:val="center"/>
              <w:cnfStyle w:val="100000000000" w:firstRow="1" w:lastRow="0" w:firstColumn="0" w:lastColumn="0" w:oddVBand="0" w:evenVBand="0" w:oddHBand="0" w:evenHBand="0" w:firstRowFirstColumn="0" w:firstRowLastColumn="0" w:lastRowFirstColumn="0" w:lastRowLastColumn="0"/>
            </w:pPr>
            <w:r>
              <w:t>DHA</w:t>
            </w:r>
          </w:p>
        </w:tc>
      </w:tr>
      <w:tr w:rsidR="00704BF6" w:rsidRPr="00704BF6" w:rsidTr="00704BF6">
        <w:tc>
          <w:tcPr>
            <w:cnfStyle w:val="001000000000" w:firstRow="0" w:lastRow="0" w:firstColumn="1" w:lastColumn="0" w:oddVBand="0" w:evenVBand="0" w:oddHBand="0" w:evenHBand="0" w:firstRowFirstColumn="0" w:firstRowLastColumn="0" w:lastRowFirstColumn="0" w:lastRowLastColumn="0"/>
            <w:tcW w:w="1783" w:type="pct"/>
            <w:tcBorders>
              <w:top w:val="nil"/>
              <w:bottom w:val="single" w:sz="4" w:space="0" w:color="auto"/>
            </w:tcBorders>
          </w:tcPr>
          <w:p w:rsidR="00D40D5A" w:rsidRPr="00704BF6" w:rsidRDefault="00D40D5A">
            <w:r w:rsidRPr="00704BF6">
              <w:t>Exposure</w:t>
            </w:r>
          </w:p>
        </w:tc>
        <w:tc>
          <w:tcPr>
            <w:tcW w:w="444" w:type="pct"/>
            <w:tcBorders>
              <w:top w:val="nil"/>
              <w:bottom w:val="single" w:sz="4" w:space="0" w:color="auto"/>
            </w:tcBorders>
          </w:tcPr>
          <w:p w:rsidR="00D40D5A" w:rsidRPr="00704BF6" w:rsidRDefault="00704BF6" w:rsidP="00704BF6">
            <w:pPr>
              <w:jc w:val="center"/>
              <w:cnfStyle w:val="000000000000" w:firstRow="0" w:lastRow="0" w:firstColumn="0" w:lastColumn="0" w:oddVBand="0" w:evenVBand="0" w:oddHBand="0" w:evenHBand="0" w:firstRowFirstColumn="0" w:firstRowLastColumn="0" w:lastRowFirstColumn="0" w:lastRowLastColumn="0"/>
              <w:rPr>
                <w:b/>
              </w:rPr>
            </w:pPr>
            <w:r w:rsidRPr="00704BF6">
              <w:rPr>
                <w:b/>
              </w:rPr>
              <w:t>I</w:t>
            </w:r>
            <w:r w:rsidR="00D40D5A" w:rsidRPr="00704BF6">
              <w:rPr>
                <w:b/>
              </w:rPr>
              <w:t>ncrease</w:t>
            </w:r>
            <w:r w:rsidRPr="00704BF6">
              <w:rPr>
                <w:b/>
                <w:vertAlign w:val="superscript"/>
              </w:rPr>
              <w:t>1</w:t>
            </w:r>
          </w:p>
        </w:tc>
        <w:tc>
          <w:tcPr>
            <w:tcW w:w="580" w:type="pct"/>
            <w:gridSpan w:val="2"/>
            <w:tcBorders>
              <w:top w:val="nil"/>
              <w:bottom w:val="single" w:sz="4" w:space="0" w:color="auto"/>
            </w:tcBorders>
          </w:tcPr>
          <w:p w:rsidR="00D40D5A" w:rsidRPr="00704BF6" w:rsidRDefault="00D40D5A" w:rsidP="00704BF6">
            <w:pPr>
              <w:jc w:val="center"/>
              <w:cnfStyle w:val="000000000000" w:firstRow="0" w:lastRow="0" w:firstColumn="0" w:lastColumn="0" w:oddVBand="0" w:evenVBand="0" w:oddHBand="0" w:evenHBand="0" w:firstRowFirstColumn="0" w:firstRowLastColumn="0" w:lastRowFirstColumn="0" w:lastRowLastColumn="0"/>
              <w:rPr>
                <w:b/>
              </w:rPr>
            </w:pPr>
            <w:r w:rsidRPr="00704BF6">
              <w:rPr>
                <w:b/>
              </w:rPr>
              <w:t>95% CI</w:t>
            </w:r>
          </w:p>
        </w:tc>
        <w:tc>
          <w:tcPr>
            <w:tcW w:w="409" w:type="pct"/>
            <w:tcBorders>
              <w:top w:val="nil"/>
              <w:bottom w:val="single" w:sz="4" w:space="0" w:color="auto"/>
            </w:tcBorders>
          </w:tcPr>
          <w:p w:rsidR="00D40D5A" w:rsidRPr="00704BF6" w:rsidRDefault="00704BF6" w:rsidP="00704BF6">
            <w:pPr>
              <w:jc w:val="center"/>
              <w:cnfStyle w:val="000000000000" w:firstRow="0" w:lastRow="0" w:firstColumn="0" w:lastColumn="0" w:oddVBand="0" w:evenVBand="0" w:oddHBand="0" w:evenHBand="0" w:firstRowFirstColumn="0" w:firstRowLastColumn="0" w:lastRowFirstColumn="0" w:lastRowLastColumn="0"/>
              <w:rPr>
                <w:b/>
              </w:rPr>
            </w:pPr>
            <w:r w:rsidRPr="00704BF6">
              <w:rPr>
                <w:b/>
              </w:rPr>
              <w:t>I</w:t>
            </w:r>
            <w:r w:rsidR="00D40D5A" w:rsidRPr="00704BF6">
              <w:rPr>
                <w:b/>
              </w:rPr>
              <w:t>ncrease</w:t>
            </w:r>
            <w:r w:rsidRPr="00704BF6">
              <w:rPr>
                <w:b/>
                <w:vertAlign w:val="superscript"/>
              </w:rPr>
              <w:t>1</w:t>
            </w:r>
          </w:p>
        </w:tc>
        <w:tc>
          <w:tcPr>
            <w:tcW w:w="679" w:type="pct"/>
            <w:gridSpan w:val="2"/>
            <w:tcBorders>
              <w:top w:val="nil"/>
              <w:bottom w:val="single" w:sz="4" w:space="0" w:color="auto"/>
            </w:tcBorders>
          </w:tcPr>
          <w:p w:rsidR="00D40D5A" w:rsidRPr="00704BF6" w:rsidRDefault="00D40D5A" w:rsidP="00704BF6">
            <w:pPr>
              <w:jc w:val="center"/>
              <w:cnfStyle w:val="000000000000" w:firstRow="0" w:lastRow="0" w:firstColumn="0" w:lastColumn="0" w:oddVBand="0" w:evenVBand="0" w:oddHBand="0" w:evenHBand="0" w:firstRowFirstColumn="0" w:firstRowLastColumn="0" w:lastRowFirstColumn="0" w:lastRowLastColumn="0"/>
              <w:rPr>
                <w:b/>
              </w:rPr>
            </w:pPr>
            <w:r w:rsidRPr="00704BF6">
              <w:rPr>
                <w:b/>
              </w:rPr>
              <w:t>95% CI</w:t>
            </w:r>
          </w:p>
        </w:tc>
        <w:tc>
          <w:tcPr>
            <w:tcW w:w="394" w:type="pct"/>
            <w:tcBorders>
              <w:top w:val="nil"/>
              <w:bottom w:val="single" w:sz="4" w:space="0" w:color="auto"/>
            </w:tcBorders>
          </w:tcPr>
          <w:p w:rsidR="00D40D5A" w:rsidRPr="00704BF6" w:rsidRDefault="00704BF6" w:rsidP="00704BF6">
            <w:pPr>
              <w:jc w:val="center"/>
              <w:cnfStyle w:val="000000000000" w:firstRow="0" w:lastRow="0" w:firstColumn="0" w:lastColumn="0" w:oddVBand="0" w:evenVBand="0" w:oddHBand="0" w:evenHBand="0" w:firstRowFirstColumn="0" w:firstRowLastColumn="0" w:lastRowFirstColumn="0" w:lastRowLastColumn="0"/>
              <w:rPr>
                <w:b/>
              </w:rPr>
            </w:pPr>
            <w:r w:rsidRPr="00704BF6">
              <w:rPr>
                <w:b/>
              </w:rPr>
              <w:t>I</w:t>
            </w:r>
            <w:r w:rsidR="00D40D5A" w:rsidRPr="00704BF6">
              <w:rPr>
                <w:b/>
              </w:rPr>
              <w:t>ncrease</w:t>
            </w:r>
            <w:r w:rsidRPr="00704BF6">
              <w:rPr>
                <w:b/>
                <w:vertAlign w:val="superscript"/>
              </w:rPr>
              <w:t>1</w:t>
            </w:r>
          </w:p>
        </w:tc>
        <w:tc>
          <w:tcPr>
            <w:tcW w:w="711" w:type="pct"/>
            <w:gridSpan w:val="2"/>
            <w:tcBorders>
              <w:top w:val="nil"/>
              <w:bottom w:val="single" w:sz="4" w:space="0" w:color="auto"/>
            </w:tcBorders>
          </w:tcPr>
          <w:p w:rsidR="00D40D5A" w:rsidRPr="00704BF6" w:rsidRDefault="00D40D5A" w:rsidP="00704BF6">
            <w:pPr>
              <w:jc w:val="center"/>
              <w:cnfStyle w:val="000000000000" w:firstRow="0" w:lastRow="0" w:firstColumn="0" w:lastColumn="0" w:oddVBand="0" w:evenVBand="0" w:oddHBand="0" w:evenHBand="0" w:firstRowFirstColumn="0" w:firstRowLastColumn="0" w:lastRowFirstColumn="0" w:lastRowLastColumn="0"/>
              <w:rPr>
                <w:b/>
              </w:rPr>
            </w:pPr>
            <w:r w:rsidRPr="00704BF6">
              <w:rPr>
                <w:b/>
              </w:rPr>
              <w:t>95% CI</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Borders>
              <w:top w:val="single" w:sz="4" w:space="0" w:color="auto"/>
            </w:tcBorders>
          </w:tcPr>
          <w:p w:rsidR="00D40D5A" w:rsidRDefault="00D40D5A" w:rsidP="00704BF6">
            <w:pPr>
              <w:rPr>
                <w:vertAlign w:val="superscript"/>
              </w:rPr>
            </w:pPr>
            <w:r>
              <w:t>Healthy Food Sources in 5km Buffer</w:t>
            </w:r>
            <w:r w:rsidRPr="0041323E">
              <w:rPr>
                <w:vertAlign w:val="superscript"/>
              </w:rPr>
              <w:t>1</w:t>
            </w:r>
          </w:p>
        </w:tc>
        <w:tc>
          <w:tcPr>
            <w:tcW w:w="444" w:type="pct"/>
            <w:tcBorders>
              <w:top w:val="single" w:sz="4" w:space="0" w:color="auto"/>
            </w:tcBorders>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273" w:type="pct"/>
            <w:tcBorders>
              <w:top w:val="single" w:sz="4" w:space="0" w:color="auto"/>
            </w:tcBorders>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307" w:type="pct"/>
            <w:tcBorders>
              <w:top w:val="single" w:sz="4" w:space="0" w:color="auto"/>
            </w:tcBorders>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409" w:type="pct"/>
            <w:tcBorders>
              <w:top w:val="single" w:sz="4" w:space="0" w:color="auto"/>
            </w:tcBorders>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76" w:type="pct"/>
            <w:tcBorders>
              <w:top w:val="single" w:sz="4" w:space="0" w:color="auto"/>
            </w:tcBorders>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03" w:type="pct"/>
            <w:tcBorders>
              <w:top w:val="single" w:sz="4" w:space="0" w:color="auto"/>
            </w:tcBorders>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94" w:type="pct"/>
            <w:tcBorders>
              <w:top w:val="single" w:sz="4" w:space="0" w:color="auto"/>
            </w:tcBorders>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75" w:type="pct"/>
            <w:tcBorders>
              <w:top w:val="single" w:sz="4" w:space="0" w:color="auto"/>
            </w:tcBorders>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336" w:type="pct"/>
            <w:tcBorders>
              <w:top w:val="single" w:sz="4" w:space="0" w:color="auto"/>
            </w:tcBorders>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Pr="0041323E" w:rsidRDefault="00D40D5A" w:rsidP="00704BF6">
            <w:r>
              <w:t xml:space="preserve">  Lowest Income Quartile</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0.19</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Pr="0041323E" w:rsidRDefault="00D40D5A" w:rsidP="00704BF6">
            <w:r>
              <w:t xml:space="preserve">  Highest Income Quartile</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-0.14</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Default="00D40D5A" w:rsidP="00704BF6"/>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Default="00D40D5A" w:rsidP="00D40D5A">
            <w:pPr>
              <w:rPr>
                <w:vertAlign w:val="superscript"/>
              </w:rPr>
            </w:pPr>
            <w:r>
              <w:t>Unhealthy Food Sources in 5km Buffer</w:t>
            </w:r>
            <w:r w:rsidRPr="0041323E">
              <w:rPr>
                <w:vertAlign w:val="superscript"/>
              </w:rPr>
              <w:t>1</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Pr="0041323E" w:rsidRDefault="00D40D5A" w:rsidP="00704BF6">
            <w:r>
              <w:t xml:space="preserve">  Lowest Income Quartile</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0.19</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Pr="0041323E" w:rsidRDefault="00D40D5A" w:rsidP="00704BF6">
            <w:r>
              <w:t xml:space="preserve">  Highest Income Quartile</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-0.14</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Default="00D40D5A" w:rsidP="00704BF6"/>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Default="00D40D5A" w:rsidP="00704BF6">
            <w:r>
              <w:t>Financial Institutions in 5km Buffer</w:t>
            </w:r>
            <w:r w:rsidRPr="00640D79">
              <w:rPr>
                <w:vertAlign w:val="superscript"/>
              </w:rPr>
              <w:t>3</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Pr="0041323E" w:rsidRDefault="00D40D5A" w:rsidP="00704BF6">
            <w:r>
              <w:t xml:space="preserve">  Lowest Income Quartile</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0.20</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Pr="0041323E" w:rsidRDefault="00D40D5A" w:rsidP="00704BF6">
            <w:r>
              <w:t xml:space="preserve">  Highest Income Quartile</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-0.15</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Default="00D40D5A" w:rsidP="00704BF6"/>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Default="00D40D5A" w:rsidP="00704BF6">
            <w:pPr>
              <w:rPr>
                <w:vertAlign w:val="superscript"/>
              </w:rPr>
            </w:pPr>
            <w:r>
              <w:t>Fish Markets in 5km Buffer</w:t>
            </w:r>
            <w:r w:rsidRPr="0041323E">
              <w:rPr>
                <w:vertAlign w:val="superscript"/>
              </w:rPr>
              <w:t>1</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Pr="0041323E" w:rsidRDefault="00D40D5A" w:rsidP="00704BF6">
            <w:r>
              <w:t xml:space="preserve">  Lowest Income Quartile</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0.14</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0.22</w:t>
            </w:r>
          </w:p>
        </w:tc>
      </w:tr>
      <w:tr w:rsidR="00704BF6" w:rsidTr="00704BF6">
        <w:tc>
          <w:tcPr>
            <w:cnfStyle w:val="001000000000" w:firstRow="0" w:lastRow="0" w:firstColumn="1" w:lastColumn="0" w:oddVBand="0" w:evenVBand="0" w:oddHBand="0" w:evenHBand="0" w:firstRowFirstColumn="0" w:firstRowLastColumn="0" w:lastRowFirstColumn="0" w:lastRowLastColumn="0"/>
            <w:tcW w:w="1783" w:type="pct"/>
          </w:tcPr>
          <w:p w:rsidR="00D40D5A" w:rsidRPr="0041323E" w:rsidRDefault="00D40D5A" w:rsidP="00704BF6">
            <w:r>
              <w:t xml:space="preserve">  Highest Income Quartile</w:t>
            </w:r>
          </w:p>
        </w:tc>
        <w:tc>
          <w:tcPr>
            <w:tcW w:w="44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27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w:t>
            </w:r>
          </w:p>
        </w:tc>
        <w:tc>
          <w:tcPr>
            <w:tcW w:w="307"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409"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c>
          <w:tcPr>
            <w:tcW w:w="37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03"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394"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375"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-0.15</w:t>
            </w:r>
          </w:p>
        </w:tc>
        <w:tc>
          <w:tcPr>
            <w:tcW w:w="336" w:type="pct"/>
          </w:tcPr>
          <w:p w:rsidR="00D40D5A" w:rsidRDefault="00D40D5A" w:rsidP="00D40D5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w:t>
            </w:r>
          </w:p>
        </w:tc>
      </w:tr>
    </w:tbl>
    <w:p w:rsidR="00704BF6" w:rsidRDefault="00704BF6" w:rsidP="00704BF6">
      <w:pPr>
        <w:spacing w:after="0"/>
      </w:pPr>
      <w:r>
        <w:rPr>
          <w:vertAlign w:val="superscript"/>
        </w:rPr>
        <w:t>1</w:t>
      </w:r>
      <w:r>
        <w:t>Increase interpretable as the average % increase in all fatty acids that were this type of fatty acid</w:t>
      </w:r>
      <w:r w:rsidR="00280310">
        <w:t xml:space="preserve"> per Z-score increase in listed </w:t>
      </w:r>
      <w:proofErr w:type="gramStart"/>
      <w:r w:rsidR="00280310">
        <w:t>business  type</w:t>
      </w:r>
      <w:proofErr w:type="gramEnd"/>
    </w:p>
    <w:p w:rsidR="00D40D5A" w:rsidRDefault="00704BF6" w:rsidP="00D40D5A">
      <w:pPr>
        <w:spacing w:after="0"/>
      </w:pPr>
      <w:r>
        <w:rPr>
          <w:vertAlign w:val="superscript"/>
        </w:rPr>
        <w:t>2</w:t>
      </w:r>
      <w:r w:rsidR="00D40D5A">
        <w:t>Supermarkets, Produce Markets, Natural Food Stores, Nut Stores, and Fish Markets</w:t>
      </w:r>
    </w:p>
    <w:p w:rsidR="00D40D5A" w:rsidRDefault="00704BF6" w:rsidP="00D40D5A">
      <w:pPr>
        <w:spacing w:after="0"/>
      </w:pPr>
      <w:r>
        <w:rPr>
          <w:vertAlign w:val="superscript"/>
        </w:rPr>
        <w:t>3</w:t>
      </w:r>
      <w:r w:rsidR="00D40D5A">
        <w:t>Fast Food Stores, Pizza Restaurants, Bakeries, Convenience Stores, and Meat Markets</w:t>
      </w:r>
    </w:p>
    <w:p w:rsidR="00D40D5A" w:rsidRDefault="00704BF6" w:rsidP="00D40D5A">
      <w:pPr>
        <w:spacing w:after="0"/>
      </w:pPr>
      <w:r>
        <w:rPr>
          <w:vertAlign w:val="superscript"/>
        </w:rPr>
        <w:t>4</w:t>
      </w:r>
      <w:r w:rsidR="00D40D5A">
        <w:t>Banks and Credit Unions</w:t>
      </w:r>
    </w:p>
    <w:p w:rsidR="00704BF6" w:rsidRDefault="00704BF6">
      <w:pPr>
        <w:sectPr w:rsidR="00704BF6" w:rsidSect="00704BF6">
          <w:pgSz w:w="15840" w:h="12240" w:orient="landscape"/>
          <w:pgMar w:top="1440" w:right="1440" w:bottom="1440" w:left="1440" w:header="720" w:footer="720" w:gutter="0"/>
          <w:cols w:space="720"/>
          <w:docGrid w:linePitch="360"/>
        </w:sectPr>
      </w:pPr>
    </w:p>
    <w:p w:rsidR="00D367AF" w:rsidRDefault="00704BF6" w:rsidP="00704BF6">
      <w:pPr>
        <w:rPr>
          <w:b/>
        </w:rPr>
      </w:pPr>
      <w:proofErr w:type="gramStart"/>
      <w:r>
        <w:rPr>
          <w:b/>
        </w:rPr>
        <w:lastRenderedPageBreak/>
        <w:t>Table 4.</w:t>
      </w:r>
      <w:proofErr w:type="gramEnd"/>
      <w:r>
        <w:rPr>
          <w:b/>
        </w:rPr>
        <w:t xml:space="preserve"> Neighborhood environments as related to survival after cardiac arrest, stratified by SES, for 2185 cases presenting with ventricular fibrillation</w:t>
      </w:r>
      <w:r w:rsidR="00D64FCE">
        <w:rPr>
          <w:b/>
        </w:rPr>
        <w:t xml:space="preserve"> (</w:t>
      </w:r>
      <w:r w:rsidR="00D64FCE" w:rsidRPr="00D64FCE">
        <w:rPr>
          <w:b/>
          <w:color w:val="FF0000"/>
        </w:rPr>
        <w:t>Column 4 in Table 1</w:t>
      </w:r>
      <w:r w:rsidR="00D64FCE">
        <w:rPr>
          <w:b/>
        </w:rPr>
        <w:t>)</w:t>
      </w:r>
      <w:r>
        <w:rPr>
          <w:b/>
        </w:rPr>
        <w:t xml:space="preserve">.  All analyses z-transform count of institutions and control for age, year of event, and gender.  </w:t>
      </w:r>
    </w:p>
    <w:p w:rsidR="00704BF6" w:rsidRDefault="00704BF6" w:rsidP="00704BF6">
      <w:pPr>
        <w:rPr>
          <w:b/>
        </w:rPr>
      </w:pPr>
      <w:r w:rsidRPr="00D367AF">
        <w:rPr>
          <w:b/>
          <w:highlight w:val="yellow"/>
        </w:rPr>
        <w:t>Financial institutions are again included here as a positive control</w:t>
      </w:r>
      <w:r w:rsidR="00D367AF" w:rsidRPr="00D367AF">
        <w:rPr>
          <w:b/>
          <w:highlight w:val="yellow"/>
        </w:rPr>
        <w:t>, and again we might consider moving them to supplementary material</w:t>
      </w:r>
      <w:r w:rsidRPr="00D367AF">
        <w:rPr>
          <w:b/>
          <w:highlight w:val="yellow"/>
        </w:rPr>
        <w:t>.</w:t>
      </w:r>
      <w:r w:rsidR="00D367AF" w:rsidRPr="00D367AF">
        <w:rPr>
          <w:b/>
          <w:highlight w:val="yellow"/>
        </w:rPr>
        <w:t xml:space="preserve">  Similarly, we likely ought to pick 5km buffers or tracts and relegate the other to the appendix</w:t>
      </w:r>
    </w:p>
    <w:tbl>
      <w:tblPr>
        <w:tblStyle w:val="LightShading"/>
        <w:tblW w:w="0" w:type="auto"/>
        <w:tblLook w:val="06A0" w:firstRow="1" w:lastRow="0" w:firstColumn="1" w:lastColumn="0" w:noHBand="1" w:noVBand="1"/>
      </w:tblPr>
      <w:tblGrid>
        <w:gridCol w:w="4968"/>
        <w:gridCol w:w="2644"/>
        <w:gridCol w:w="982"/>
        <w:gridCol w:w="982"/>
      </w:tblGrid>
      <w:tr w:rsidR="00280310" w:rsidTr="00D36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704BF6" w:rsidRPr="0041323E" w:rsidRDefault="00704BF6" w:rsidP="00704BF6">
            <w:r>
              <w:t>Exposure</w:t>
            </w:r>
          </w:p>
        </w:tc>
        <w:tc>
          <w:tcPr>
            <w:tcW w:w="2644" w:type="dxa"/>
          </w:tcPr>
          <w:p w:rsidR="00704BF6" w:rsidRPr="0041323E" w:rsidRDefault="00704BF6" w:rsidP="00280310">
            <w:pPr>
              <w:jc w:val="center"/>
              <w:cnfStyle w:val="100000000000" w:firstRow="1" w:lastRow="0" w:firstColumn="0" w:lastColumn="0" w:oddVBand="0" w:evenVBand="0" w:oddHBand="0" w:evenHBand="0" w:firstRowFirstColumn="0" w:firstRowLastColumn="0" w:lastRowFirstColumn="0" w:lastRowLastColumn="0"/>
            </w:pPr>
            <w:r>
              <w:t>Odds Ratio</w:t>
            </w:r>
            <w:r w:rsidR="00280310">
              <w:t xml:space="preserve"> relating odds of survival  per z-score</w:t>
            </w:r>
            <w:r>
              <w:t xml:space="preserve"> increase in exposure</w:t>
            </w:r>
          </w:p>
        </w:tc>
        <w:tc>
          <w:tcPr>
            <w:tcW w:w="0" w:type="auto"/>
            <w:gridSpan w:val="2"/>
          </w:tcPr>
          <w:p w:rsidR="00704BF6" w:rsidRDefault="00704BF6" w:rsidP="00704BF6">
            <w:pPr>
              <w:jc w:val="center"/>
              <w:cnfStyle w:val="100000000000" w:firstRow="1" w:lastRow="0" w:firstColumn="0" w:lastColumn="0" w:oddVBand="0" w:evenVBand="0" w:oddHBand="0" w:evenHBand="0" w:firstRowFirstColumn="0" w:firstRowLastColumn="0" w:lastRowFirstColumn="0" w:lastRowLastColumn="0"/>
              <w:rPr>
                <w:vertAlign w:val="superscript"/>
              </w:rPr>
            </w:pPr>
            <w:r>
              <w:t>95% Confidence Interval</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Default="00704BF6" w:rsidP="00704BF6">
            <w:pPr>
              <w:rPr>
                <w:vertAlign w:val="superscript"/>
              </w:rPr>
            </w:pPr>
            <w:r>
              <w:t>Healthy Food Sources in 5km Buffer</w:t>
            </w:r>
            <w:r w:rsidRPr="0041323E">
              <w:rPr>
                <w:vertAlign w:val="superscript"/>
              </w:rPr>
              <w:t>1</w:t>
            </w:r>
          </w:p>
        </w:tc>
        <w:tc>
          <w:tcPr>
            <w:tcW w:w="2644" w:type="dxa"/>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0.93</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1.15</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Pr="0041323E" w:rsidRDefault="00704BF6" w:rsidP="00704BF6">
            <w:r>
              <w:t xml:space="preserve">  Lowest Income Quartile</w:t>
            </w:r>
          </w:p>
        </w:tc>
        <w:tc>
          <w:tcPr>
            <w:tcW w:w="2644" w:type="dxa"/>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0.93</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Pr="0041323E" w:rsidRDefault="00704BF6" w:rsidP="00704BF6">
            <w:r>
              <w:t xml:space="preserve">  Highest Income Quartile</w:t>
            </w:r>
          </w:p>
        </w:tc>
        <w:tc>
          <w:tcPr>
            <w:tcW w:w="2644" w:type="dxa"/>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0.95</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1.19</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Default="00704BF6" w:rsidP="00704BF6"/>
        </w:tc>
        <w:tc>
          <w:tcPr>
            <w:tcW w:w="2644" w:type="dxa"/>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Default="00704BF6" w:rsidP="00704BF6">
            <w:pPr>
              <w:rPr>
                <w:vertAlign w:val="superscript"/>
              </w:rPr>
            </w:pPr>
            <w:r>
              <w:t>Unhealthy Food Sources in 5km Buffer</w:t>
            </w:r>
            <w:r>
              <w:rPr>
                <w:vertAlign w:val="superscript"/>
              </w:rPr>
              <w:t>2</w:t>
            </w:r>
          </w:p>
        </w:tc>
        <w:tc>
          <w:tcPr>
            <w:tcW w:w="2644" w:type="dxa"/>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0.92</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Pr="0041323E" w:rsidRDefault="00704BF6" w:rsidP="00704BF6">
            <w:r>
              <w:t xml:space="preserve">  Lowest Income Quartile</w:t>
            </w:r>
          </w:p>
        </w:tc>
        <w:tc>
          <w:tcPr>
            <w:tcW w:w="2644" w:type="dxa"/>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0.91</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1.38</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Pr="0041323E" w:rsidRDefault="00704BF6" w:rsidP="00704BF6">
            <w:r>
              <w:t xml:space="preserve">  Highest Income Quartile</w:t>
            </w:r>
          </w:p>
        </w:tc>
        <w:tc>
          <w:tcPr>
            <w:tcW w:w="2644" w:type="dxa"/>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0.98</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0.78</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Default="00704BF6" w:rsidP="00704BF6"/>
        </w:tc>
        <w:tc>
          <w:tcPr>
            <w:tcW w:w="2644" w:type="dxa"/>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vertAlign w:val="superscript"/>
              </w:rPr>
            </w:pPr>
          </w:p>
        </w:tc>
        <w:tc>
          <w:tcPr>
            <w:tcW w:w="0" w:type="auto"/>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vertAlign w:val="superscript"/>
              </w:rPr>
            </w:pPr>
          </w:p>
        </w:tc>
        <w:tc>
          <w:tcPr>
            <w:tcW w:w="0" w:type="auto"/>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vertAlign w:val="superscript"/>
              </w:rPr>
            </w:pP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Default="00704BF6" w:rsidP="00704BF6">
            <w:r>
              <w:t>Financial Institutions in 5km Buffer</w:t>
            </w:r>
            <w:r w:rsidRPr="00640D79">
              <w:rPr>
                <w:vertAlign w:val="superscript"/>
              </w:rPr>
              <w:t>3</w:t>
            </w:r>
          </w:p>
        </w:tc>
        <w:tc>
          <w:tcPr>
            <w:tcW w:w="2644" w:type="dxa"/>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0.95</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Pr="0041323E" w:rsidRDefault="00704BF6" w:rsidP="00704BF6">
            <w:r>
              <w:t xml:space="preserve">  Lowest Income Quartile</w:t>
            </w:r>
          </w:p>
        </w:tc>
        <w:tc>
          <w:tcPr>
            <w:tcW w:w="2644" w:type="dxa"/>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1.17</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0.95</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Pr="0041323E" w:rsidRDefault="00704BF6" w:rsidP="00704BF6">
            <w:r>
              <w:t xml:space="preserve">  Highest Income Quartile</w:t>
            </w:r>
          </w:p>
        </w:tc>
        <w:tc>
          <w:tcPr>
            <w:tcW w:w="2644" w:type="dxa"/>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0" w:type="auto"/>
            <w:vAlign w:val="bottom"/>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Default="00704BF6" w:rsidP="00704BF6"/>
        </w:tc>
        <w:tc>
          <w:tcPr>
            <w:tcW w:w="2644" w:type="dxa"/>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6B4E42" w:rsidRDefault="006B4E42" w:rsidP="00704BF6">
            <w:pPr>
              <w:rPr>
                <w:vertAlign w:val="superscript"/>
              </w:rPr>
            </w:pPr>
            <w:r>
              <w:t>Healthy Food Sources in Home Census Tract</w:t>
            </w:r>
            <w:r w:rsidRPr="0041323E">
              <w:rPr>
                <w:vertAlign w:val="superscript"/>
              </w:rPr>
              <w:t>1</w:t>
            </w:r>
          </w:p>
        </w:tc>
        <w:tc>
          <w:tcPr>
            <w:tcW w:w="2644" w:type="dxa"/>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0.84</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6B4E42" w:rsidRPr="0041323E" w:rsidRDefault="006B4E42" w:rsidP="00704BF6">
            <w:r>
              <w:t xml:space="preserve">  Lowest Income Quartile</w:t>
            </w:r>
          </w:p>
        </w:tc>
        <w:tc>
          <w:tcPr>
            <w:tcW w:w="2644" w:type="dxa"/>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0.80</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6B4E42" w:rsidRPr="0041323E" w:rsidRDefault="006B4E42" w:rsidP="00704BF6">
            <w:r>
              <w:t xml:space="preserve">  Highest Income Quartile</w:t>
            </w:r>
          </w:p>
        </w:tc>
        <w:tc>
          <w:tcPr>
            <w:tcW w:w="2644" w:type="dxa"/>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0.88</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0.67</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Default="00704BF6" w:rsidP="00704BF6"/>
        </w:tc>
        <w:tc>
          <w:tcPr>
            <w:tcW w:w="2644" w:type="dxa"/>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6B4E42" w:rsidRDefault="006B4E42" w:rsidP="00704BF6">
            <w:pPr>
              <w:rPr>
                <w:vertAlign w:val="superscript"/>
              </w:rPr>
            </w:pPr>
            <w:r>
              <w:t>Unhealthy Food Sources in Home Census Tract</w:t>
            </w:r>
            <w:r>
              <w:rPr>
                <w:vertAlign w:val="superscript"/>
              </w:rPr>
              <w:t>2</w:t>
            </w:r>
          </w:p>
        </w:tc>
        <w:tc>
          <w:tcPr>
            <w:tcW w:w="2644" w:type="dxa"/>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0.98</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0.88</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1.09</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6B4E42" w:rsidRPr="0041323E" w:rsidRDefault="006B4E42" w:rsidP="00704BF6">
            <w:r>
              <w:t xml:space="preserve">  Lowest Income Quartile</w:t>
            </w:r>
          </w:p>
        </w:tc>
        <w:tc>
          <w:tcPr>
            <w:tcW w:w="2644" w:type="dxa"/>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0.96</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0.77</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6B4E42" w:rsidRPr="0041323E" w:rsidRDefault="006B4E42" w:rsidP="00704BF6">
            <w:r>
              <w:t xml:space="preserve">  Highest Income Quartile</w:t>
            </w:r>
          </w:p>
        </w:tc>
        <w:tc>
          <w:tcPr>
            <w:tcW w:w="2644" w:type="dxa"/>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0.96</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1.19</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704BF6" w:rsidRDefault="00704BF6" w:rsidP="00704BF6"/>
        </w:tc>
        <w:tc>
          <w:tcPr>
            <w:tcW w:w="2644" w:type="dxa"/>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rsidR="00704BF6" w:rsidRDefault="00704BF6"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6B4E42" w:rsidRDefault="006B4E42" w:rsidP="00704BF6">
            <w:r>
              <w:t>Financial Institutions in Home Census Tract</w:t>
            </w:r>
            <w:r>
              <w:rPr>
                <w:vertAlign w:val="superscript"/>
              </w:rPr>
              <w:t>3</w:t>
            </w:r>
          </w:p>
        </w:tc>
        <w:tc>
          <w:tcPr>
            <w:tcW w:w="2644" w:type="dxa"/>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0.92</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0.80</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6B4E42" w:rsidRPr="0041323E" w:rsidRDefault="006B4E42" w:rsidP="00704BF6">
            <w:r>
              <w:t xml:space="preserve">  Lowest Income Quartile</w:t>
            </w:r>
          </w:p>
        </w:tc>
        <w:tc>
          <w:tcPr>
            <w:tcW w:w="2644" w:type="dxa"/>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0.78</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0.99</w:t>
            </w:r>
          </w:p>
        </w:tc>
      </w:tr>
      <w:tr w:rsidR="00280310" w:rsidTr="00D367AF">
        <w:tc>
          <w:tcPr>
            <w:cnfStyle w:val="001000000000" w:firstRow="0" w:lastRow="0" w:firstColumn="1" w:lastColumn="0" w:oddVBand="0" w:evenVBand="0" w:oddHBand="0" w:evenHBand="0" w:firstRowFirstColumn="0" w:firstRowLastColumn="0" w:lastRowFirstColumn="0" w:lastRowLastColumn="0"/>
            <w:tcW w:w="4968" w:type="dxa"/>
          </w:tcPr>
          <w:p w:rsidR="006B4E42" w:rsidRPr="0041323E" w:rsidRDefault="006B4E42" w:rsidP="00704BF6">
            <w:r>
              <w:t xml:space="preserve">  Highest Income Quartile</w:t>
            </w:r>
          </w:p>
        </w:tc>
        <w:tc>
          <w:tcPr>
            <w:tcW w:w="2644" w:type="dxa"/>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0.95</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0.72</w:t>
            </w:r>
          </w:p>
        </w:tc>
        <w:tc>
          <w:tcPr>
            <w:tcW w:w="0" w:type="auto"/>
            <w:vAlign w:val="bottom"/>
          </w:tcPr>
          <w:p w:rsidR="006B4E42" w:rsidRDefault="006B4E42" w:rsidP="006B4E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1.19</w:t>
            </w:r>
          </w:p>
        </w:tc>
      </w:tr>
    </w:tbl>
    <w:p w:rsidR="00704BF6" w:rsidRDefault="00704BF6" w:rsidP="00704BF6">
      <w:pPr>
        <w:spacing w:after="0"/>
      </w:pPr>
      <w:r>
        <w:rPr>
          <w:vertAlign w:val="superscript"/>
        </w:rPr>
        <w:t>1</w:t>
      </w:r>
      <w:r>
        <w:t>Supermarkets, Produce Markets, Natural Food Stores, Nut Stores, and Fish Markets</w:t>
      </w:r>
    </w:p>
    <w:p w:rsidR="00704BF6" w:rsidRDefault="00704BF6" w:rsidP="00704BF6">
      <w:pPr>
        <w:spacing w:after="0"/>
      </w:pPr>
      <w:r>
        <w:rPr>
          <w:vertAlign w:val="superscript"/>
        </w:rPr>
        <w:t>2</w:t>
      </w:r>
      <w:r>
        <w:t>Fast Food Stores, Pizza Restaurants, Bakeries, Convenience Stores, and Meat Markets</w:t>
      </w:r>
    </w:p>
    <w:p w:rsidR="00704BF6" w:rsidRDefault="00704BF6" w:rsidP="00704BF6">
      <w:pPr>
        <w:spacing w:after="0"/>
      </w:pPr>
      <w:r>
        <w:rPr>
          <w:vertAlign w:val="superscript"/>
        </w:rPr>
        <w:t>3</w:t>
      </w:r>
      <w:r>
        <w:t>Banks and Credit Unions</w:t>
      </w:r>
    </w:p>
    <w:p w:rsidR="00704BF6" w:rsidRDefault="00704BF6" w:rsidP="00704BF6">
      <w:pPr>
        <w:spacing w:after="0"/>
      </w:pPr>
    </w:p>
    <w:p w:rsidR="00704BF6" w:rsidRDefault="00704BF6" w:rsidP="00704BF6">
      <w:pPr>
        <w:sectPr w:rsidR="00704BF6" w:rsidSect="0073053A">
          <w:pgSz w:w="12240" w:h="15840"/>
          <w:pgMar w:top="1440" w:right="1440" w:bottom="1440" w:left="1440" w:header="720" w:footer="720" w:gutter="0"/>
          <w:cols w:space="720"/>
          <w:docGrid w:linePitch="360"/>
        </w:sectPr>
      </w:pPr>
    </w:p>
    <w:p w:rsidR="00704BF6" w:rsidRDefault="0089431E">
      <w:pPr>
        <w:rPr>
          <w:b/>
        </w:rPr>
      </w:pPr>
      <w:proofErr w:type="gramStart"/>
      <w:r w:rsidRPr="00D367AF">
        <w:rPr>
          <w:b/>
        </w:rPr>
        <w:lastRenderedPageBreak/>
        <w:t>Figure 1.</w:t>
      </w:r>
      <w:proofErr w:type="gramEnd"/>
      <w:r w:rsidRPr="00D367AF">
        <w:rPr>
          <w:b/>
        </w:rPr>
        <w:t xml:space="preserve">  Scatterplot of count of healthy and unhealthy food outlets within a 5km buffer for controls and comparable cases (r=0.97)</w:t>
      </w:r>
    </w:p>
    <w:p w:rsidR="00D64FCE" w:rsidRPr="00D367AF" w:rsidRDefault="00D64FCE">
      <w:pPr>
        <w:rPr>
          <w:b/>
        </w:rPr>
      </w:pPr>
      <w:r w:rsidRPr="00D64FCE">
        <w:rPr>
          <w:b/>
          <w:highlight w:val="yellow"/>
        </w:rPr>
        <w:t>We probably ought to present this on a per-tract rather than per-person basis – I suspect the result will be very similar, but it makes more sense</w:t>
      </w:r>
    </w:p>
    <w:p w:rsidR="0089431E" w:rsidRDefault="0089431E">
      <w:r>
        <w:rPr>
          <w:noProof/>
        </w:rPr>
        <w:drawing>
          <wp:inline distT="0" distB="0" distL="0" distR="0" wp14:anchorId="54EA0FF0" wp14:editId="649FF29A">
            <wp:extent cx="5943600" cy="598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988685"/>
                    </a:xfrm>
                    <a:prstGeom prst="rect">
                      <a:avLst/>
                    </a:prstGeom>
                  </pic:spPr>
                </pic:pic>
              </a:graphicData>
            </a:graphic>
          </wp:inline>
        </w:drawing>
      </w:r>
    </w:p>
    <w:p w:rsidR="0089431E" w:rsidRDefault="0089431E">
      <w:r>
        <w:br w:type="page"/>
      </w:r>
    </w:p>
    <w:p w:rsidR="0089431E" w:rsidRPr="00D367AF" w:rsidRDefault="0089431E">
      <w:pPr>
        <w:rPr>
          <w:b/>
        </w:rPr>
      </w:pPr>
      <w:proofErr w:type="gramStart"/>
      <w:r w:rsidRPr="00D367AF">
        <w:rPr>
          <w:b/>
        </w:rPr>
        <w:lastRenderedPageBreak/>
        <w:t>Figure 2.</w:t>
      </w:r>
      <w:proofErr w:type="gramEnd"/>
      <w:r w:rsidRPr="00D367AF">
        <w:rPr>
          <w:b/>
        </w:rPr>
        <w:t xml:space="preserve"> Jittered scatterplot of count of healthy and unhealthy food outlets within home census tract for controls and comparable cases</w:t>
      </w:r>
      <w:r w:rsidR="00D367AF">
        <w:rPr>
          <w:b/>
        </w:rPr>
        <w:t xml:space="preserve"> (FOR SUPPLEMENTARY MATERIAL)</w:t>
      </w:r>
      <w:r w:rsidRPr="00D367AF">
        <w:rPr>
          <w:b/>
        </w:rPr>
        <w:t xml:space="preserve"> </w:t>
      </w:r>
    </w:p>
    <w:p w:rsidR="0089431E" w:rsidRDefault="0089431E">
      <w:r>
        <w:rPr>
          <w:noProof/>
        </w:rPr>
        <w:drawing>
          <wp:inline distT="0" distB="0" distL="0" distR="0" wp14:anchorId="69B97953" wp14:editId="6CAEC220">
            <wp:extent cx="5943600" cy="592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925820"/>
                    </a:xfrm>
                    <a:prstGeom prst="rect">
                      <a:avLst/>
                    </a:prstGeom>
                  </pic:spPr>
                </pic:pic>
              </a:graphicData>
            </a:graphic>
          </wp:inline>
        </w:drawing>
      </w:r>
    </w:p>
    <w:p w:rsidR="0089431E" w:rsidRDefault="0089431E">
      <w:r>
        <w:br w:type="page"/>
      </w:r>
    </w:p>
    <w:p w:rsidR="00D367AF" w:rsidRDefault="0089431E">
      <w:pPr>
        <w:rPr>
          <w:b/>
        </w:rPr>
      </w:pPr>
      <w:proofErr w:type="gramStart"/>
      <w:r w:rsidRPr="00ED0629">
        <w:rPr>
          <w:b/>
        </w:rPr>
        <w:lastRenderedPageBreak/>
        <w:t>Figure 3.</w:t>
      </w:r>
      <w:proofErr w:type="gramEnd"/>
      <w:r w:rsidRPr="00ED0629">
        <w:rPr>
          <w:b/>
        </w:rPr>
        <w:t xml:space="preserve"> Kernel Density Plot of count</w:t>
      </w:r>
      <w:r w:rsidR="00ED0629" w:rsidRPr="00ED0629">
        <w:rPr>
          <w:b/>
        </w:rPr>
        <w:t>s of</w:t>
      </w:r>
      <w:r w:rsidRPr="00ED0629">
        <w:rPr>
          <w:b/>
        </w:rPr>
        <w:t xml:space="preserve"> various types of business establishments within 5km buffer of centroid of home census tracts,</w:t>
      </w:r>
      <w:r w:rsidR="00ED0629" w:rsidRPr="00ED0629">
        <w:rPr>
          <w:b/>
        </w:rPr>
        <w:t xml:space="preserve"> stratified by case/control status,</w:t>
      </w:r>
      <w:r w:rsidRPr="00ED0629">
        <w:rPr>
          <w:b/>
        </w:rPr>
        <w:t xml:space="preserve"> using comparable cases and controls as defined in Table 1.</w:t>
      </w:r>
    </w:p>
    <w:p w:rsidR="00D367AF" w:rsidRDefault="00D367AF">
      <w:pPr>
        <w:rPr>
          <w:b/>
        </w:rPr>
      </w:pPr>
      <w:r w:rsidRPr="00D367AF">
        <w:rPr>
          <w:b/>
          <w:highlight w:val="yellow"/>
        </w:rPr>
        <w:t>I think this is better suited for the supplement, but we may want to pick one or two for a figure 2 for the main paper</w:t>
      </w:r>
    </w:p>
    <w:p w:rsidR="0089431E" w:rsidRDefault="0089431E">
      <w:r>
        <w:rPr>
          <w:noProof/>
        </w:rPr>
        <w:drawing>
          <wp:inline distT="0" distB="0" distL="0" distR="0">
            <wp:extent cx="5943600" cy="2894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PlotsWithBuffersComparableCas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894330"/>
                    </a:xfrm>
                    <a:prstGeom prst="rect">
                      <a:avLst/>
                    </a:prstGeom>
                  </pic:spPr>
                </pic:pic>
              </a:graphicData>
            </a:graphic>
          </wp:inline>
        </w:drawing>
      </w:r>
    </w:p>
    <w:p w:rsidR="0089431E" w:rsidRDefault="0089431E">
      <w:r>
        <w:br w:type="page"/>
      </w:r>
    </w:p>
    <w:p w:rsidR="0089431E" w:rsidRDefault="00ED0629" w:rsidP="00ED0629">
      <w:pPr>
        <w:rPr>
          <w:b/>
        </w:rPr>
      </w:pPr>
      <w:proofErr w:type="gramStart"/>
      <w:r w:rsidRPr="00ED0629">
        <w:rPr>
          <w:b/>
        </w:rPr>
        <w:lastRenderedPageBreak/>
        <w:t>Figure 4.</w:t>
      </w:r>
      <w:proofErr w:type="gramEnd"/>
      <w:r w:rsidRPr="00ED0629">
        <w:rPr>
          <w:b/>
        </w:rPr>
        <w:t xml:space="preserve"> Kernel Density Plot of counts of various types of business establishments within 5km buffer of centroid of home census tracts, stratified by survival after cardiac arrest, among 1613 cases presenting with ventricular fibrillation</w:t>
      </w:r>
    </w:p>
    <w:p w:rsidR="00D367AF" w:rsidRDefault="00D367AF" w:rsidP="00D367AF">
      <w:pPr>
        <w:rPr>
          <w:b/>
        </w:rPr>
      </w:pPr>
      <w:r w:rsidRPr="00D367AF">
        <w:rPr>
          <w:b/>
          <w:highlight w:val="yellow"/>
        </w:rPr>
        <w:t>Similar to Figure 3 above, I think this is better suited for the supplement, but we may want to pick one or two for a figure 2 for the main paper</w:t>
      </w:r>
    </w:p>
    <w:p w:rsidR="00D367AF" w:rsidRPr="00ED0629" w:rsidRDefault="00D367AF" w:rsidP="00ED0629">
      <w:pPr>
        <w:rPr>
          <w:b/>
        </w:rPr>
      </w:pPr>
    </w:p>
    <w:p w:rsidR="00ED0629" w:rsidRDefault="00ED0629" w:rsidP="00ED0629">
      <w:pPr>
        <w:rPr>
          <w:b/>
        </w:rPr>
      </w:pPr>
      <w:r>
        <w:rPr>
          <w:noProof/>
        </w:rPr>
        <w:drawing>
          <wp:inline distT="0" distB="0" distL="0" distR="0" wp14:anchorId="7B907CF2" wp14:editId="7DFE583C">
            <wp:extent cx="5943600" cy="3282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82315"/>
                    </a:xfrm>
                    <a:prstGeom prst="rect">
                      <a:avLst/>
                    </a:prstGeom>
                  </pic:spPr>
                </pic:pic>
              </a:graphicData>
            </a:graphic>
          </wp:inline>
        </w:drawing>
      </w:r>
    </w:p>
    <w:p w:rsidR="00C60750" w:rsidRDefault="00C60750">
      <w:pPr>
        <w:rPr>
          <w:b/>
        </w:rPr>
      </w:pPr>
      <w:r>
        <w:rPr>
          <w:b/>
        </w:rPr>
        <w:br w:type="page"/>
      </w:r>
    </w:p>
    <w:p w:rsidR="00C60750" w:rsidRDefault="00C60750" w:rsidP="00ED0629">
      <w:pPr>
        <w:rPr>
          <w:b/>
        </w:rPr>
      </w:pPr>
      <w:r>
        <w:rPr>
          <w:b/>
        </w:rPr>
        <w:lastRenderedPageBreak/>
        <w:t>Figure 5: Correlation of tract per-capita income to Parcel Improved Value for parcel closest to subject reported home address, 3320 subjects for whom data were available.</w:t>
      </w:r>
      <w:r w:rsidR="00D64FCE">
        <w:rPr>
          <w:b/>
        </w:rPr>
        <w:t xml:space="preserve"> FOR SUPPLEMENTARY MATERIAL (?)</w:t>
      </w:r>
    </w:p>
    <w:p w:rsidR="00C60750" w:rsidRPr="00ED0629" w:rsidRDefault="00C60750" w:rsidP="00ED0629">
      <w:pPr>
        <w:rPr>
          <w:b/>
        </w:rPr>
      </w:pPr>
      <w:r>
        <w:rPr>
          <w:noProof/>
        </w:rPr>
        <w:drawing>
          <wp:inline distT="0" distB="0" distL="0" distR="0" wp14:anchorId="6F7AE70D" wp14:editId="57953828">
            <wp:extent cx="5943600" cy="5314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314315"/>
                    </a:xfrm>
                    <a:prstGeom prst="rect">
                      <a:avLst/>
                    </a:prstGeom>
                  </pic:spPr>
                </pic:pic>
              </a:graphicData>
            </a:graphic>
          </wp:inline>
        </w:drawing>
      </w:r>
    </w:p>
    <w:sectPr w:rsidR="00C60750" w:rsidRPr="00ED0629" w:rsidSect="0070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8A"/>
    <w:rsid w:val="001050ED"/>
    <w:rsid w:val="001E70DC"/>
    <w:rsid w:val="00280310"/>
    <w:rsid w:val="00286C47"/>
    <w:rsid w:val="00406CF0"/>
    <w:rsid w:val="0041323E"/>
    <w:rsid w:val="004728B4"/>
    <w:rsid w:val="004E1F2F"/>
    <w:rsid w:val="00597DAD"/>
    <w:rsid w:val="005A5561"/>
    <w:rsid w:val="00640D79"/>
    <w:rsid w:val="006B4E42"/>
    <w:rsid w:val="00704BF6"/>
    <w:rsid w:val="0073053A"/>
    <w:rsid w:val="00732789"/>
    <w:rsid w:val="007A048A"/>
    <w:rsid w:val="0089431E"/>
    <w:rsid w:val="00903E09"/>
    <w:rsid w:val="00936C93"/>
    <w:rsid w:val="00A02C08"/>
    <w:rsid w:val="00A7579C"/>
    <w:rsid w:val="00B56F1F"/>
    <w:rsid w:val="00C60750"/>
    <w:rsid w:val="00C954A4"/>
    <w:rsid w:val="00D367AF"/>
    <w:rsid w:val="00D40D5A"/>
    <w:rsid w:val="00D64FCE"/>
    <w:rsid w:val="00ED0629"/>
    <w:rsid w:val="00F6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48A"/>
  </w:style>
  <w:style w:type="paragraph" w:styleId="Heading1">
    <w:name w:val="heading 1"/>
    <w:basedOn w:val="Normal"/>
    <w:next w:val="Normal"/>
    <w:link w:val="Heading1Char"/>
    <w:uiPriority w:val="9"/>
    <w:qFormat/>
    <w:rsid w:val="004728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28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7A04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06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4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31E"/>
    <w:rPr>
      <w:rFonts w:ascii="Tahoma" w:hAnsi="Tahoma" w:cs="Tahoma"/>
      <w:sz w:val="16"/>
      <w:szCs w:val="16"/>
    </w:rPr>
  </w:style>
  <w:style w:type="character" w:customStyle="1" w:styleId="Heading1Char">
    <w:name w:val="Heading 1 Char"/>
    <w:basedOn w:val="DefaultParagraphFont"/>
    <w:link w:val="Heading1"/>
    <w:uiPriority w:val="9"/>
    <w:rsid w:val="004728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28B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728B4"/>
    <w:rPr>
      <w:i/>
      <w:iCs/>
    </w:rPr>
  </w:style>
  <w:style w:type="character" w:styleId="Strong">
    <w:name w:val="Strong"/>
    <w:basedOn w:val="DefaultParagraphFont"/>
    <w:uiPriority w:val="22"/>
    <w:qFormat/>
    <w:rsid w:val="00936C93"/>
    <w:rPr>
      <w:b/>
      <w:bCs/>
    </w:rPr>
  </w:style>
  <w:style w:type="character" w:styleId="SubtleEmphasis">
    <w:name w:val="Subtle Emphasis"/>
    <w:basedOn w:val="DefaultParagraphFont"/>
    <w:uiPriority w:val="19"/>
    <w:qFormat/>
    <w:rsid w:val="00936C9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48A"/>
  </w:style>
  <w:style w:type="paragraph" w:styleId="Heading1">
    <w:name w:val="heading 1"/>
    <w:basedOn w:val="Normal"/>
    <w:next w:val="Normal"/>
    <w:link w:val="Heading1Char"/>
    <w:uiPriority w:val="9"/>
    <w:qFormat/>
    <w:rsid w:val="004728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28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7A04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06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4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31E"/>
    <w:rPr>
      <w:rFonts w:ascii="Tahoma" w:hAnsi="Tahoma" w:cs="Tahoma"/>
      <w:sz w:val="16"/>
      <w:szCs w:val="16"/>
    </w:rPr>
  </w:style>
  <w:style w:type="character" w:customStyle="1" w:styleId="Heading1Char">
    <w:name w:val="Heading 1 Char"/>
    <w:basedOn w:val="DefaultParagraphFont"/>
    <w:link w:val="Heading1"/>
    <w:uiPriority w:val="9"/>
    <w:rsid w:val="004728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28B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728B4"/>
    <w:rPr>
      <w:i/>
      <w:iCs/>
    </w:rPr>
  </w:style>
  <w:style w:type="character" w:styleId="Strong">
    <w:name w:val="Strong"/>
    <w:basedOn w:val="DefaultParagraphFont"/>
    <w:uiPriority w:val="22"/>
    <w:qFormat/>
    <w:rsid w:val="00936C93"/>
    <w:rPr>
      <w:b/>
      <w:bCs/>
    </w:rPr>
  </w:style>
  <w:style w:type="character" w:styleId="SubtleEmphasis">
    <w:name w:val="Subtle Emphasis"/>
    <w:basedOn w:val="DefaultParagraphFont"/>
    <w:uiPriority w:val="19"/>
    <w:qFormat/>
    <w:rsid w:val="00936C9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Mooney, Stephen</dc:creator>
  <cp:lastModifiedBy>Lovasi, Gina S.</cp:lastModifiedBy>
  <cp:revision>3</cp:revision>
  <dcterms:created xsi:type="dcterms:W3CDTF">2015-11-11T14:23:00Z</dcterms:created>
  <dcterms:modified xsi:type="dcterms:W3CDTF">2015-11-12T21:23:00Z</dcterms:modified>
</cp:coreProperties>
</file>