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olor w:val="7A5A22"/>
          <w:sz w:val="22"/>
          <w:szCs w:val="22"/>
        </w:rPr>
        <w:t xml:space="preserve">SOFTWARE TESTING REPORT</w:t>
      </w:r>
    </w:p>
    <w:p>
      <w:pPr>
        <w:spacing w:after="0" w:before="200"/>
      </w:pPr>
      <w:r>
        <w:rPr>
          <w:rFonts w:ascii="Cambria" w:cs="Cambria" w:eastAsia="Cambria" w:hAnsi="Cambria"/>
          <w:b/>
          <w:bCs/>
          <w:color w:val="1A1A1A"/>
          <w:sz w:val="56"/>
          <w:szCs w:val="56"/>
        </w:rPr>
        <w:t xml:space="preserve">The Gilded Stake</w:t>
      </w:r>
    </w:p>
    <w:p>
      <w:pPr>
        <w:spacing w:after="600" w:before="80"/>
      </w:pPr>
      <w:r>
        <w:rPr>
          <w:rFonts w:ascii="Cambria" w:cs="Cambria" w:eastAsia="Cambria" w:hAnsi="Cambria"/>
          <w:i/>
          <w:iCs/>
          <w:color w:val="5B5B5B"/>
          <w:sz w:val="24"/>
          <w:szCs w:val="24"/>
        </w:rPr>
        <w:t xml:space="preserve">A Private House for the Discerning Wager</w:t>
      </w:r>
    </w:p>
    <w:tbl>
      <w:tblPr>
        <w:tblW w:type="dxa" w:w="9026"/>
        <w:tblBorders>
          <w:top w:val="single" w:color="D9D2C2" w:sz="2"/>
          <w:left w:val="single" w:color="D9D2C2" w:sz="2"/>
          <w:bottom w:val="single" w:color="D9D2C2" w:sz="2"/>
          <w:right w:val="single" w:color="D9D2C2" w:sz="2"/>
          <w:insideH w:val="single" w:color="D9D2C2" w:sz="2"/>
          <w:insideV w:val="single" w:color="D9D2C2" w:sz="2"/>
        </w:tblBorders>
      </w:tblPr>
      <w:tblGrid>
        <w:gridCol w:w="2400"/>
        <w:gridCol w:w="6626"/>
      </w:tblGrid>
      <w:tr>
        <w:tc>
          <w:tcPr>
            <w:tcW w:type="dxa" w:w="24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bCs/>
                <w:color w:val="1A1A1A"/>
                <w:sz w:val="18"/>
                <w:szCs w:val="18"/>
              </w:rPr>
              <w:t xml:space="preserve">Project</w:t>
            </w:r>
          </w:p>
        </w:tc>
        <w:tc>
          <w:tcPr>
            <w:tcW w:type="dxa" w:w="66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8"/>
                <w:szCs w:val="18"/>
              </w:rPr>
              <w:t xml:space="preserve">The Gilded Stake — Client, Account &amp; Transaction Management System</w:t>
            </w:r>
          </w:p>
        </w:tc>
      </w:tr>
      <w:tr>
        <w:tc>
          <w:tcPr>
            <w:tcW w:type="dxa" w:w="24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bCs/>
                <w:color w:val="1A1A1A"/>
                <w:sz w:val="18"/>
                <w:szCs w:val="18"/>
              </w:rPr>
              <w:t xml:space="preserve">Module</w:t>
            </w:r>
          </w:p>
        </w:tc>
        <w:tc>
          <w:tcPr>
            <w:tcW w:type="dxa" w:w="66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8"/>
                <w:szCs w:val="18"/>
              </w:rPr>
              <w:t xml:space="preserve">Final Project Specification — Horizon DevCamp</w:t>
            </w:r>
          </w:p>
        </w:tc>
      </w:tr>
      <w:tr>
        <w:tc>
          <w:tcPr>
            <w:tcW w:type="dxa" w:w="24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bCs/>
                <w:color w:val="1A1A1A"/>
                <w:sz w:val="18"/>
                <w:szCs w:val="18"/>
              </w:rPr>
              <w:t xml:space="preserve">Document</w:t>
            </w:r>
          </w:p>
        </w:tc>
        <w:tc>
          <w:tcPr>
            <w:tcW w:type="dxa" w:w="66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8"/>
                <w:szCs w:val="18"/>
              </w:rPr>
              <w:t xml:space="preserve">Software Testing Report</w:t>
            </w:r>
          </w:p>
        </w:tc>
      </w:tr>
      <w:tr>
        <w:tc>
          <w:tcPr>
            <w:tcW w:type="dxa" w:w="24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bCs/>
                <w:color w:val="1A1A1A"/>
                <w:sz w:val="18"/>
                <w:szCs w:val="18"/>
              </w:rPr>
              <w:t xml:space="preserve">Prepared by</w:t>
            </w:r>
          </w:p>
        </w:tc>
        <w:tc>
          <w:tcPr>
            <w:tcW w:type="dxa" w:w="66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8"/>
                <w:szCs w:val="18"/>
              </w:rPr>
              <w:t xml:space="preserve">Nyiko Gift Masingi</w:t>
            </w:r>
          </w:p>
        </w:tc>
      </w:tr>
      <w:tr>
        <w:tc>
          <w:tcPr>
            <w:tcW w:type="dxa" w:w="24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bCs/>
                <w:color w:val="1A1A1A"/>
                <w:sz w:val="18"/>
                <w:szCs w:val="18"/>
              </w:rPr>
              <w:t xml:space="preserve">Document version</w:t>
            </w:r>
          </w:p>
        </w:tc>
        <w:tc>
          <w:tcPr>
            <w:tcW w:type="dxa" w:w="66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8"/>
                <w:szCs w:val="18"/>
              </w:rPr>
              <w:t xml:space="preserve">1.0</w:t>
            </w:r>
          </w:p>
        </w:tc>
      </w:tr>
      <w:tr>
        <w:tc>
          <w:tcPr>
            <w:tcW w:type="dxa" w:w="24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bCs/>
                <w:color w:val="1A1A1A"/>
                <w:sz w:val="18"/>
                <w:szCs w:val="18"/>
              </w:rPr>
              <w:t xml:space="preserve">Date</w:t>
            </w:r>
          </w:p>
        </w:tc>
        <w:tc>
          <w:tcPr>
            <w:tcW w:type="dxa" w:w="66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8"/>
                <w:szCs w:val="18"/>
              </w:rPr>
              <w:t xml:space="preserve">10 July 2026</w:t>
            </w:r>
          </w:p>
        </w:tc>
      </w:tr>
    </w:tbl>
    <w:p>
      <w:pPr>
        <w:spacing w:after="0" w:before="800"/>
      </w:pPr>
    </w:p>
    <w:tbl>
      <w:tblPr>
        <w:tblW w:type="dxa" w:w="9026"/>
        <w:tblBorders>
          <w:top w:val="single" w:color="A9782F" w:sz="4"/>
          <w:left w:val="single" w:color="A9782F" w:sz="4"/>
          <w:bottom w:val="single" w:color="A9782F" w:sz="4"/>
          <w:right w:val="single" w:color="A9782F" w:sz="4"/>
          <w:insideH w:val="none" w:color="FFFFFF" w:sz="0"/>
          <w:insideV w:val="none" w:color="FFFFFF" w:sz="0"/>
        </w:tblBorders>
      </w:tblPr>
      <w:tblGrid>
        <w:gridCol w:w="9026"/>
      </w:tblGrid>
      <w:tr>
        <w:tc>
          <w:tcPr>
            <w:tcW w:type="dxa" w:w="9026"/>
            <w:shd w:fill="F7F4EC" w:color="auto" w:val="clear"/>
            <w:tcMar>
              <w:top w:type="dxa" w:w="160"/>
              <w:left w:type="dxa" w:w="200"/>
              <w:bottom w:type="dxa" w:w="160"/>
              <w:right w:type="dxa" w:w="200"/>
            </w:tcMar>
          </w:tcPr>
          <w:p>
            <w:pPr>
              <w:spacing w:after="80"/>
            </w:pPr>
            <w:r>
              <w:rPr>
                <w:rFonts w:ascii="Calibri" w:cs="Calibri" w:eastAsia="Calibri" w:hAnsi="Calibri"/>
                <w:b/>
                <w:bCs/>
                <w:color w:val="7A5A22"/>
                <w:sz w:val="20"/>
                <w:szCs w:val="20"/>
              </w:rPr>
              <w:t xml:space="preserve">About this document</w:t>
            </w:r>
          </w:p>
          <w:p>
            <w:pPr>
              <w:spacing w:after="60"/>
            </w:pPr>
            <w:r>
              <w:rPr>
                <w:rFonts w:ascii="Calibri" w:cs="Calibri" w:eastAsia="Calibri" w:hAnsi="Calibri"/>
                <w:color w:val="1A1A1A"/>
                <w:sz w:val="19"/>
                <w:szCs w:val="19"/>
              </w:rPr>
              <w:t xml:space="preserve">This report documents the automated unit test suite and the manual / exploratory test plan executed against The Gilded Stake, together with a traceability matrix back to the Final Project Specification, a log of defects found and resolved during development, and known gaps. See Section 3 for the verification methodology used to determine the results recorded in this report.</w:t>
            </w:r>
          </w:p>
        </w:tc>
      </w:tr>
    </w:tbl>
    <w:p>
      <w:r>
        <w:br w:type="page"/>
      </w:r>
    </w:p>
    <w:p>
      <w:pPr>
        <w:pStyle w:val="Heading1"/>
        <w:pBdr>
          <w:bottom w:val="single" w:color="A9782F" w:sz="8" w:space="6"/>
        </w:pBdr>
        <w:spacing w:after="200" w:before="480"/>
      </w:pPr>
      <w:r>
        <w:rPr>
          <w:rFonts w:ascii="Cambria" w:cs="Cambria" w:eastAsia="Cambria" w:hAnsi="Cambria"/>
          <w:b/>
          <w:bCs/>
          <w:color w:val="1A1A1A"/>
          <w:sz w:val="30"/>
          <w:szCs w:val="30"/>
        </w:rPr>
        <w:t xml:space="preserve">Contents</w:t>
      </w:r>
    </w:p>
    <w:p>
      <w:pPr>
        <w:pStyle w:val="ListParagraph"/>
        <w:numPr>
          <w:ilvl w:val="0"/>
          <w:numId w:val="1"/>
        </w:numPr>
        <w:spacing w:after="80"/>
      </w:pPr>
      <w:r>
        <w:rPr>
          <w:rFonts w:ascii="Calibri" w:cs="Calibri" w:eastAsia="Calibri" w:hAnsi="Calibri"/>
          <w:color w:val="1A1A1A"/>
          <w:sz w:val="20"/>
          <w:szCs w:val="20"/>
        </w:rPr>
        <w:t xml:space="preserve">1. Introduction</w:t>
      </w:r>
    </w:p>
    <w:p>
      <w:pPr>
        <w:pStyle w:val="ListParagraph"/>
        <w:numPr>
          <w:ilvl w:val="0"/>
          <w:numId w:val="1"/>
        </w:numPr>
        <w:spacing w:after="80"/>
      </w:pPr>
      <w:r>
        <w:rPr>
          <w:rFonts w:ascii="Calibri" w:cs="Calibri" w:eastAsia="Calibri" w:hAnsi="Calibri"/>
          <w:color w:val="1A1A1A"/>
          <w:sz w:val="20"/>
          <w:szCs w:val="20"/>
        </w:rPr>
        <w:t xml:space="preserve">2. Test Environment</w:t>
      </w:r>
    </w:p>
    <w:p>
      <w:pPr>
        <w:pStyle w:val="ListParagraph"/>
        <w:numPr>
          <w:ilvl w:val="0"/>
          <w:numId w:val="1"/>
        </w:numPr>
        <w:spacing w:after="80"/>
      </w:pPr>
      <w:r>
        <w:rPr>
          <w:rFonts w:ascii="Calibri" w:cs="Calibri" w:eastAsia="Calibri" w:hAnsi="Calibri"/>
          <w:color w:val="1A1A1A"/>
          <w:sz w:val="20"/>
          <w:szCs w:val="20"/>
        </w:rPr>
        <w:t xml:space="preserve">3. Testing Methodology &amp; Verification Approach</w:t>
      </w:r>
    </w:p>
    <w:p>
      <w:pPr>
        <w:pStyle w:val="ListParagraph"/>
        <w:numPr>
          <w:ilvl w:val="0"/>
          <w:numId w:val="1"/>
        </w:numPr>
        <w:spacing w:after="80"/>
      </w:pPr>
      <w:r>
        <w:rPr>
          <w:rFonts w:ascii="Calibri" w:cs="Calibri" w:eastAsia="Calibri" w:hAnsi="Calibri"/>
          <w:color w:val="1A1A1A"/>
          <w:sz w:val="20"/>
          <w:szCs w:val="20"/>
        </w:rPr>
        <w:t xml:space="preserve">4. Automated Unit Test Suite (16 tests)</w:t>
      </w:r>
    </w:p>
    <w:p>
      <w:pPr>
        <w:pStyle w:val="ListParagraph"/>
        <w:numPr>
          <w:ilvl w:val="0"/>
          <w:numId w:val="1"/>
        </w:numPr>
        <w:spacing w:after="80"/>
      </w:pPr>
      <w:r>
        <w:rPr>
          <w:rFonts w:ascii="Calibri" w:cs="Calibri" w:eastAsia="Calibri" w:hAnsi="Calibri"/>
          <w:color w:val="1A1A1A"/>
          <w:sz w:val="20"/>
          <w:szCs w:val="20"/>
        </w:rPr>
        <w:t xml:space="preserve">5. Manual / Exploratory Test Plan (50 test cases)</w:t>
      </w:r>
    </w:p>
    <w:p>
      <w:pPr>
        <w:pStyle w:val="ListParagraph"/>
        <w:numPr>
          <w:ilvl w:val="0"/>
          <w:numId w:val="1"/>
        </w:numPr>
        <w:spacing w:after="80"/>
      </w:pPr>
      <w:r>
        <w:rPr>
          <w:rFonts w:ascii="Calibri" w:cs="Calibri" w:eastAsia="Calibri" w:hAnsi="Calibri"/>
          <w:color w:val="1A1A1A"/>
          <w:sz w:val="20"/>
          <w:szCs w:val="20"/>
        </w:rPr>
        <w:t xml:space="preserve">6. Defects Found &amp; Resolved During Development</w:t>
      </w:r>
    </w:p>
    <w:p>
      <w:pPr>
        <w:pStyle w:val="ListParagraph"/>
        <w:numPr>
          <w:ilvl w:val="0"/>
          <w:numId w:val="1"/>
        </w:numPr>
        <w:spacing w:after="80"/>
      </w:pPr>
      <w:r>
        <w:rPr>
          <w:rFonts w:ascii="Calibri" w:cs="Calibri" w:eastAsia="Calibri" w:hAnsi="Calibri"/>
          <w:color w:val="1A1A1A"/>
          <w:sz w:val="20"/>
          <w:szCs w:val="20"/>
        </w:rPr>
        <w:t xml:space="preserve">7. Requirements Traceability Matrix</w:t>
      </w:r>
    </w:p>
    <w:p>
      <w:pPr>
        <w:pStyle w:val="ListParagraph"/>
        <w:numPr>
          <w:ilvl w:val="0"/>
          <w:numId w:val="1"/>
        </w:numPr>
        <w:spacing w:after="80"/>
      </w:pPr>
      <w:r>
        <w:rPr>
          <w:rFonts w:ascii="Calibri" w:cs="Calibri" w:eastAsia="Calibri" w:hAnsi="Calibri"/>
          <w:color w:val="1A1A1A"/>
          <w:sz w:val="20"/>
          <w:szCs w:val="20"/>
        </w:rPr>
        <w:t xml:space="preserve">8. Known Gaps &amp; Out of Scope</w:t>
      </w:r>
    </w:p>
    <w:p>
      <w:pPr>
        <w:pStyle w:val="ListParagraph"/>
        <w:numPr>
          <w:ilvl w:val="0"/>
          <w:numId w:val="1"/>
        </w:numPr>
        <w:spacing w:after="80"/>
      </w:pPr>
      <w:r>
        <w:rPr>
          <w:rFonts w:ascii="Calibri" w:cs="Calibri" w:eastAsia="Calibri" w:hAnsi="Calibri"/>
          <w:color w:val="1A1A1A"/>
          <w:sz w:val="20"/>
          <w:szCs w:val="20"/>
        </w:rPr>
        <w:t xml:space="preserve">9. Conclusion &amp; Sign-off</w:t>
      </w:r>
    </w:p>
    <w:p>
      <w:pPr>
        <w:pStyle w:val="ListParagraph"/>
        <w:numPr>
          <w:ilvl w:val="0"/>
          <w:numId w:val="1"/>
        </w:numPr>
        <w:spacing w:after="80"/>
      </w:pPr>
      <w:r>
        <w:rPr>
          <w:rFonts w:ascii="Calibri" w:cs="Calibri" w:eastAsia="Calibri" w:hAnsi="Calibri"/>
          <w:color w:val="1A1A1A"/>
          <w:sz w:val="20"/>
          <w:szCs w:val="20"/>
        </w:rPr>
        <w:t xml:space="preserve">Appendix A — Live dotnet test Console Output</w:t>
      </w:r>
    </w:p>
    <w:p>
      <w:pPr>
        <w:pStyle w:val="ListParagraph"/>
        <w:numPr>
          <w:ilvl w:val="0"/>
          <w:numId w:val="1"/>
        </w:numPr>
        <w:spacing w:after="80"/>
      </w:pPr>
      <w:r>
        <w:rPr>
          <w:rFonts w:ascii="Calibri" w:cs="Calibri" w:eastAsia="Calibri" w:hAnsi="Calibri"/>
          <w:color w:val="1A1A1A"/>
          <w:sz w:val="20"/>
          <w:szCs w:val="20"/>
        </w:rPr>
        <w:t xml:space="preserve">Appendix B — Screenshot Evidence</w:t>
      </w:r>
    </w:p>
    <w:p>
      <w:r>
        <w:br w:type="page"/>
      </w:r>
    </w:p>
    <w:p>
      <w:pPr>
        <w:pStyle w:val="Heading1"/>
        <w:pBdr>
          <w:bottom w:val="single" w:color="A9782F" w:sz="8" w:space="6"/>
        </w:pBdr>
        <w:spacing w:after="200" w:before="480"/>
      </w:pPr>
      <w:r>
        <w:rPr>
          <w:rFonts w:ascii="Cambria" w:cs="Cambria" w:eastAsia="Cambria" w:hAnsi="Cambria"/>
          <w:b/>
          <w:bCs/>
          <w:color w:val="1A1A1A"/>
          <w:sz w:val="30"/>
          <w:szCs w:val="30"/>
        </w:rPr>
        <w:t xml:space="preserve">1. Introduction</w:t>
      </w:r>
    </w:p>
    <w:p>
      <w:pPr>
        <w:pStyle w:val="Heading2"/>
        <w:spacing w:after="140" w:before="320"/>
      </w:pPr>
      <w:r>
        <w:rPr>
          <w:rFonts w:ascii="Cambria" w:cs="Cambria" w:eastAsia="Cambria" w:hAnsi="Cambria"/>
          <w:b/>
          <w:bCs/>
          <w:color w:val="7A5A22"/>
          <w:sz w:val="24"/>
          <w:szCs w:val="24"/>
        </w:rPr>
        <w:t xml:space="preserve">1.1 Purpose</w:t>
      </w:r>
    </w:p>
    <w:p>
      <w:pPr>
        <w:spacing w:after="160" w:before="0"/>
      </w:pPr>
      <w:r>
        <w:rPr>
          <w:rFonts w:ascii="Calibri" w:cs="Calibri" w:eastAsia="Calibri" w:hAnsi="Calibri"/>
          <w:b w:val="false"/>
          <w:bCs w:val="false"/>
          <w:i w:val="false"/>
          <w:iCs w:val="false"/>
          <w:color w:val="1A1A1A"/>
          <w:sz w:val="20"/>
          <w:szCs w:val="20"/>
        </w:rPr>
        <w:t xml:space="preserve">This document records the testing carried out against The Gilded Stake, the ASP.NET Core MVC (.NET 10) client, account and transaction management system built for the Horizon DevCamp final capstone. It is intended to give a marker or reviewer a clear, reproducible picture of what was tested, how it was tested, and the result of every test.</w:t>
      </w:r>
    </w:p>
    <w:p>
      <w:pPr>
        <w:pStyle w:val="Heading2"/>
        <w:spacing w:after="140" w:before="320"/>
      </w:pPr>
      <w:r>
        <w:rPr>
          <w:rFonts w:ascii="Cambria" w:cs="Cambria" w:eastAsia="Cambria" w:hAnsi="Cambria"/>
          <w:b/>
          <w:bCs/>
          <w:color w:val="7A5A22"/>
          <w:sz w:val="24"/>
          <w:szCs w:val="24"/>
        </w:rPr>
        <w:t xml:space="preserve">1.2 Scope</w:t>
      </w:r>
    </w:p>
    <w:p>
      <w:pPr>
        <w:spacing w:after="160" w:before="0"/>
      </w:pPr>
      <w:r>
        <w:rPr>
          <w:rFonts w:ascii="Calibri" w:cs="Calibri" w:eastAsia="Calibri" w:hAnsi="Calibri"/>
          <w:b w:val="false"/>
          <w:bCs w:val="false"/>
          <w:i w:val="false"/>
          <w:iCs w:val="false"/>
          <w:color w:val="1A1A1A"/>
          <w:sz w:val="20"/>
          <w:szCs w:val="20"/>
        </w:rPr>
        <w:t xml:space="preserve">Testing covers the full functional scope of the Final Project Specification: the Home, Users, About and Contact pages; the User List, User Details, Account Details and Transaction Details screens; every documented business rule; and the system’s error-handling behaviour. Two complementary layers of testing were performed:</w:t>
      </w:r>
    </w:p>
    <w:p>
      <w:pPr>
        <w:pStyle w:val="ListParagraph"/>
        <w:numPr>
          <w:ilvl w:val="0"/>
          <w:numId w:val="1"/>
        </w:numPr>
        <w:spacing w:after="80"/>
      </w:pPr>
      <w:r>
        <w:rPr>
          <w:rFonts w:ascii="Calibri" w:cs="Calibri" w:eastAsia="Calibri" w:hAnsi="Calibri"/>
          <w:color w:val="1A1A1A"/>
          <w:sz w:val="20"/>
          <w:szCs w:val="20"/>
        </w:rPr>
        <w:t xml:space="preserve">Automated unit tests against the service layer (GildedStake.Tests), where every business rule from the specification is enforced.</w:t>
      </w:r>
    </w:p>
    <w:p>
      <w:pPr>
        <w:pStyle w:val="ListParagraph"/>
        <w:numPr>
          <w:ilvl w:val="0"/>
          <w:numId w:val="1"/>
        </w:numPr>
        <w:spacing w:after="80"/>
      </w:pPr>
      <w:r>
        <w:rPr>
          <w:rFonts w:ascii="Calibri" w:cs="Calibri" w:eastAsia="Calibri" w:hAnsi="Calibri"/>
          <w:color w:val="1A1A1A"/>
          <w:sz w:val="20"/>
          <w:szCs w:val="20"/>
        </w:rPr>
        <w:t xml:space="preserve">Manual / exploratory black-box testing against the running application, covering UI flows, validation, navigation and end-to-end scenarios that are impractical to unit test.</w:t>
      </w:r>
    </w:p>
    <w:p>
      <w:pPr>
        <w:pStyle w:val="Heading2"/>
        <w:spacing w:after="140" w:before="320"/>
      </w:pPr>
      <w:r>
        <w:rPr>
          <w:rFonts w:ascii="Cambria" w:cs="Cambria" w:eastAsia="Cambria" w:hAnsi="Cambria"/>
          <w:b/>
          <w:bCs/>
          <w:color w:val="7A5A22"/>
          <w:sz w:val="24"/>
          <w:szCs w:val="24"/>
        </w:rPr>
        <w:t xml:space="preserve">1.3 System Under Test — Overview</w:t>
      </w:r>
    </w:p>
    <w:p>
      <w:pPr>
        <w:spacing w:after="160" w:before="0"/>
      </w:pPr>
      <w:r>
        <w:rPr>
          <w:rFonts w:ascii="Calibri" w:cs="Calibri" w:eastAsia="Calibri" w:hAnsi="Calibri"/>
          <w:b w:val="false"/>
          <w:bCs w:val="false"/>
          <w:i w:val="false"/>
          <w:iCs w:val="false"/>
          <w:color w:val="1A1A1A"/>
          <w:sz w:val="20"/>
          <w:szCs w:val="20"/>
        </w:rPr>
        <w:t xml:space="preserve">The Gilded Stake manages three core entities — Users, Accounts and Transactions — following the required navigation flow: User List → User Details → Account Details → Transaction Details. Persistence is via Entity Framework Core 10 against Microsoft SQL Server, reading through a SQL view (vw_UserAccountSummary) and a stored procedure (sp_GetAccountStatement).</w:t>
      </w:r>
    </w:p>
    <w:p>
      <w:pPr>
        <w:pStyle w:val="Heading1"/>
        <w:pBdr>
          <w:bottom w:val="single" w:color="A9782F" w:sz="8" w:space="6"/>
        </w:pBdr>
        <w:spacing w:after="200" w:before="480"/>
      </w:pPr>
      <w:r>
        <w:rPr>
          <w:rFonts w:ascii="Cambria" w:cs="Cambria" w:eastAsia="Cambria" w:hAnsi="Cambria"/>
          <w:b/>
          <w:bCs/>
          <w:color w:val="1A1A1A"/>
          <w:sz w:val="30"/>
          <w:szCs w:val="30"/>
        </w:rPr>
        <w:t xml:space="preserve">2. Test Environment</w:t>
      </w:r>
    </w:p>
    <w:p>
      <w:pPr>
        <w:pStyle w:val="Heading2"/>
        <w:spacing w:after="140" w:before="320"/>
      </w:pPr>
      <w:r>
        <w:rPr>
          <w:rFonts w:ascii="Cambria" w:cs="Cambria" w:eastAsia="Cambria" w:hAnsi="Cambria"/>
          <w:b/>
          <w:bCs/>
          <w:color w:val="7A5A22"/>
          <w:sz w:val="24"/>
          <w:szCs w:val="24"/>
        </w:rPr>
        <w:t xml:space="preserve">2.1 Tools &amp; Frameworks</w:t>
      </w:r>
    </w:p>
    <w:tbl>
      <w:tblPr>
        <w:tblW w:type="dxa" w:w="9026"/>
        <w:tblBorders>
          <w:top w:val="single" w:color="D9D2C2" w:sz="2"/>
          <w:left w:val="single" w:color="D9D2C2" w:sz="2"/>
          <w:bottom w:val="single" w:color="D9D2C2" w:sz="2"/>
          <w:right w:val="single" w:color="D9D2C2" w:sz="2"/>
          <w:insideH w:val="single" w:color="D9D2C2" w:sz="2"/>
          <w:insideV w:val="single" w:color="D9D2C2" w:sz="2"/>
        </w:tblBorders>
      </w:tblPr>
      <w:tblGrid>
        <w:gridCol w:w="3200"/>
        <w:gridCol w:w="5826"/>
      </w:tblGrid>
      <w:tr>
        <w:trPr>
          <w:tblHeader/>
        </w:trPr>
        <w:tc>
          <w:tcPr>
            <w:tcW w:type="dxa" w:w="320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Component</w:t>
            </w:r>
          </w:p>
        </w:tc>
        <w:tc>
          <w:tcPr>
            <w:tcW w:type="dxa" w:w="5826"/>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Detail</w:t>
            </w:r>
          </w:p>
        </w:tc>
      </w:tr>
      <w:tr>
        <w:tc>
          <w:tcPr>
            <w:tcW w:type="dxa" w:w="32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Runtime / SDK</w:t>
            </w:r>
          </w:p>
        </w:tc>
        <w:tc>
          <w:tcPr>
            <w:tcW w:type="dxa" w:w="58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.NET 10 (SDK 10.0.301)</w:t>
            </w:r>
          </w:p>
        </w:tc>
      </w:tr>
      <w:tr>
        <w:tc>
          <w:tcPr>
            <w:tcW w:type="dxa" w:w="32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Automated test framework</w:t>
            </w:r>
          </w:p>
        </w:tc>
        <w:tc>
          <w:tcPr>
            <w:tcW w:type="dxa" w:w="58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xUnit 2.9.2, run via dotnet test</w:t>
            </w:r>
          </w:p>
        </w:tc>
      </w:tr>
      <w:tr>
        <w:tc>
          <w:tcPr>
            <w:tcW w:type="dxa" w:w="32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Automated test data provider</w:t>
            </w:r>
          </w:p>
        </w:tc>
        <w:tc>
          <w:tcPr>
            <w:tcW w:type="dxa" w:w="58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Microsoft.EntityFrameworkCore.InMemory 10.0.7 (isolated database per test)</w:t>
            </w:r>
          </w:p>
        </w:tc>
      </w:tr>
      <w:tr>
        <w:tc>
          <w:tcPr>
            <w:tcW w:type="dxa" w:w="32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Manual test database</w:t>
            </w:r>
          </w:p>
        </w:tc>
        <w:tc>
          <w:tcPr>
            <w:tcW w:type="dxa" w:w="58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Microsoft SQL Server (LocalDB) via Entity Framework Core 10</w:t>
            </w:r>
          </w:p>
        </w:tc>
      </w:tr>
      <w:tr>
        <w:tc>
          <w:tcPr>
            <w:tcW w:type="dxa" w:w="32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Browsers (manual testing)</w:t>
            </w:r>
          </w:p>
        </w:tc>
        <w:tc>
          <w:tcPr>
            <w:tcW w:type="dxa" w:w="58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Latest Chrome, Edge and Firefox; responsive checks at 1440px and 375px widths</w:t>
            </w:r>
          </w:p>
        </w:tc>
      </w:tr>
      <w:tr>
        <w:tc>
          <w:tcPr>
            <w:tcW w:type="dxa" w:w="32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Seed data</w:t>
            </w:r>
          </w:p>
        </w:tc>
        <w:tc>
          <w:tcPr>
            <w:tcW w:type="dxa" w:w="58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Three demonstration clients, four accounts and seven transactions created automatically by Data/DbInitializer.cs on first run</w:t>
            </w:r>
          </w:p>
        </w:tc>
      </w:tr>
    </w:tbl>
    <w:p>
      <w:pPr>
        <w:pStyle w:val="Heading2"/>
        <w:spacing w:after="140" w:before="320"/>
      </w:pPr>
      <w:r>
        <w:rPr>
          <w:rFonts w:ascii="Cambria" w:cs="Cambria" w:eastAsia="Cambria" w:hAnsi="Cambria"/>
          <w:b/>
          <w:bCs/>
          <w:color w:val="7A5A22"/>
          <w:sz w:val="24"/>
          <w:szCs w:val="24"/>
        </w:rPr>
        <w:t xml:space="preserve">2.2 How to Run the Tests</w:t>
      </w:r>
    </w:p>
    <w:p>
      <w:pPr>
        <w:spacing w:after="160" w:before="0"/>
      </w:pPr>
      <w:r>
        <w:rPr>
          <w:rFonts w:ascii="Calibri" w:cs="Calibri" w:eastAsia="Calibri" w:hAnsi="Calibri"/>
          <w:b w:val="false"/>
          <w:bCs w:val="false"/>
          <w:i w:val="false"/>
          <w:iCs w:val="false"/>
          <w:color w:val="1A1A1A"/>
          <w:sz w:val="20"/>
          <w:szCs w:val="20"/>
        </w:rPr>
        <w:t xml:space="preserve">Automated suite:</w:t>
      </w:r>
    </w:p>
    <w:tbl>
      <w:tblPr>
        <w:tblW w:type="dxa" w:w="9026"/>
        <w:tblBorders>
          <w:top w:val="single" w:color="A9782F" w:sz="4"/>
          <w:left w:val="single" w:color="A9782F" w:sz="4"/>
          <w:bottom w:val="single" w:color="A9782F" w:sz="4"/>
          <w:right w:val="single" w:color="A9782F" w:sz="4"/>
          <w:insideH w:val="none" w:color="FFFFFF" w:sz="0"/>
          <w:insideV w:val="none" w:color="FFFFFF" w:sz="0"/>
        </w:tblBorders>
      </w:tblPr>
      <w:tblGrid>
        <w:gridCol w:w="9026"/>
      </w:tblGrid>
      <w:tr>
        <w:tc>
          <w:tcPr>
            <w:tcW w:type="dxa" w:w="9026"/>
            <w:shd w:fill="F7F4EC" w:color="auto" w:val="clear"/>
            <w:tcMar>
              <w:top w:type="dxa" w:w="160"/>
              <w:left w:type="dxa" w:w="200"/>
              <w:bottom w:type="dxa" w:w="160"/>
              <w:right w:type="dxa" w:w="200"/>
            </w:tcMar>
          </w:tcPr>
          <w:p>
            <w:pPr>
              <w:spacing w:after="80"/>
            </w:pPr>
            <w:r>
              <w:rPr>
                <w:rFonts w:ascii="Calibri" w:cs="Calibri" w:eastAsia="Calibri" w:hAnsi="Calibri"/>
                <w:b/>
                <w:bCs/>
                <w:color w:val="7A5A22"/>
                <w:sz w:val="20"/>
                <w:szCs w:val="20"/>
              </w:rPr>
              <w:t xml:space="preserve">Commands</w:t>
            </w:r>
          </w:p>
          <w:p>
            <w:pPr>
              <w:spacing w:after="60"/>
            </w:pPr>
            <w:r>
              <w:rPr>
                <w:rFonts w:ascii="Calibri" w:cs="Calibri" w:eastAsia="Calibri" w:hAnsi="Calibri"/>
                <w:color w:val="1A1A1A"/>
                <w:sz w:val="19"/>
                <w:szCs w:val="19"/>
              </w:rPr>
              <w:t xml:space="preserve">cd src/GildedStake.Tests</w:t>
            </w:r>
          </w:p>
          <w:p>
            <w:pPr>
              <w:spacing w:after="60"/>
            </w:pPr>
            <w:r>
              <w:rPr>
                <w:rFonts w:ascii="Calibri" w:cs="Calibri" w:eastAsia="Calibri" w:hAnsi="Calibri"/>
                <w:color w:val="1A1A1A"/>
                <w:sz w:val="19"/>
                <w:szCs w:val="19"/>
              </w:rPr>
              <w:t xml:space="preserve">dotnet test</w:t>
            </w:r>
          </w:p>
        </w:tc>
      </w:tr>
    </w:tbl>
    <w:p>
      <w:pPr>
        <w:spacing w:after="160" w:before="160"/>
      </w:pPr>
      <w:r>
        <w:rPr>
          <w:rFonts w:ascii="Calibri" w:cs="Calibri" w:eastAsia="Calibri" w:hAnsi="Calibri"/>
          <w:b w:val="false"/>
          <w:bCs w:val="false"/>
          <w:i w:val="false"/>
          <w:iCs w:val="false"/>
          <w:color w:val="1A1A1A"/>
          <w:sz w:val="20"/>
          <w:szCs w:val="20"/>
        </w:rPr>
        <w:t xml:space="preserve">Manual / exploratory suite: run the application locally against a reachable SQL Server instance and work through Section 5 using the seeded demonstration data.</w:t>
      </w:r>
    </w:p>
    <w:tbl>
      <w:tblPr>
        <w:tblW w:type="dxa" w:w="9026"/>
        <w:tblBorders>
          <w:top w:val="single" w:color="A9782F" w:sz="4"/>
          <w:left w:val="single" w:color="A9782F" w:sz="4"/>
          <w:bottom w:val="single" w:color="A9782F" w:sz="4"/>
          <w:right w:val="single" w:color="A9782F" w:sz="4"/>
          <w:insideH w:val="none" w:color="FFFFFF" w:sz="0"/>
          <w:insideV w:val="none" w:color="FFFFFF" w:sz="0"/>
        </w:tblBorders>
      </w:tblPr>
      <w:tblGrid>
        <w:gridCol w:w="9026"/>
      </w:tblGrid>
      <w:tr>
        <w:tc>
          <w:tcPr>
            <w:tcW w:type="dxa" w:w="9026"/>
            <w:shd w:fill="F7F4EC" w:color="auto" w:val="clear"/>
            <w:tcMar>
              <w:top w:type="dxa" w:w="160"/>
              <w:left w:type="dxa" w:w="200"/>
              <w:bottom w:type="dxa" w:w="160"/>
              <w:right w:type="dxa" w:w="200"/>
            </w:tcMar>
          </w:tcPr>
          <w:p>
            <w:pPr>
              <w:spacing w:after="80"/>
            </w:pPr>
            <w:r>
              <w:rPr>
                <w:rFonts w:ascii="Calibri" w:cs="Calibri" w:eastAsia="Calibri" w:hAnsi="Calibri"/>
                <w:b/>
                <w:bCs/>
                <w:color w:val="7A5A22"/>
                <w:sz w:val="20"/>
                <w:szCs w:val="20"/>
              </w:rPr>
              <w:t xml:space="preserve">Commands</w:t>
            </w:r>
          </w:p>
          <w:p>
            <w:pPr>
              <w:spacing w:after="60"/>
            </w:pPr>
            <w:r>
              <w:rPr>
                <w:rFonts w:ascii="Calibri" w:cs="Calibri" w:eastAsia="Calibri" w:hAnsi="Calibri"/>
                <w:color w:val="1A1A1A"/>
                <w:sz w:val="19"/>
                <w:szCs w:val="19"/>
              </w:rPr>
              <w:t xml:space="preserve">cd src/GildedStake.Web</w:t>
            </w:r>
          </w:p>
          <w:p>
            <w:pPr>
              <w:spacing w:after="60"/>
            </w:pPr>
            <w:r>
              <w:rPr>
                <w:rFonts w:ascii="Calibri" w:cs="Calibri" w:eastAsia="Calibri" w:hAnsi="Calibri"/>
                <w:color w:val="1A1A1A"/>
                <w:sz w:val="19"/>
                <w:szCs w:val="19"/>
              </w:rPr>
              <w:t xml:space="preserve">dotnet restore</w:t>
            </w:r>
          </w:p>
          <w:p>
            <w:pPr>
              <w:spacing w:after="60"/>
            </w:pPr>
            <w:r>
              <w:rPr>
                <w:rFonts w:ascii="Calibri" w:cs="Calibri" w:eastAsia="Calibri" w:hAnsi="Calibri"/>
                <w:color w:val="1A1A1A"/>
                <w:sz w:val="19"/>
                <w:szCs w:val="19"/>
              </w:rPr>
              <w:t xml:space="preserve">dotnet run</w:t>
            </w:r>
          </w:p>
        </w:tc>
      </w:tr>
    </w:tbl>
    <w:p>
      <w:pPr>
        <w:pStyle w:val="Heading1"/>
        <w:pBdr>
          <w:bottom w:val="single" w:color="A9782F" w:sz="8" w:space="6"/>
        </w:pBdr>
        <w:spacing w:after="200" w:before="480"/>
      </w:pPr>
      <w:r>
        <w:rPr>
          <w:rFonts w:ascii="Cambria" w:cs="Cambria" w:eastAsia="Cambria" w:hAnsi="Cambria"/>
          <w:b/>
          <w:bCs/>
          <w:color w:val="1A1A1A"/>
          <w:sz w:val="30"/>
          <w:szCs w:val="30"/>
        </w:rPr>
        <w:t xml:space="preserve">3. Testing Methodology &amp; Verification Approach</w:t>
      </w:r>
    </w:p>
    <w:p>
      <w:pPr>
        <w:spacing w:after="160" w:before="0"/>
      </w:pPr>
      <w:r>
        <w:rPr>
          <w:rFonts w:ascii="Calibri" w:cs="Calibri" w:eastAsia="Calibri" w:hAnsi="Calibri"/>
          <w:b w:val="false"/>
          <w:bCs w:val="false"/>
          <w:i w:val="false"/>
          <w:iCs w:val="false"/>
          <w:color w:val="1A1A1A"/>
          <w:sz w:val="20"/>
          <w:szCs w:val="20"/>
        </w:rPr>
        <w:t xml:space="preserve">Two verification techniques were combined to produce the results recorded in Sections 4 and 5:</w:t>
      </w:r>
    </w:p>
    <w:p>
      <w:pPr>
        <w:pStyle w:val="ListParagraph"/>
        <w:numPr>
          <w:ilvl w:val="0"/>
          <w:numId w:val="1"/>
        </w:numPr>
        <w:spacing w:after="80"/>
      </w:pPr>
      <w:r>
        <w:rPr>
          <w:rFonts w:ascii="Calibri" w:cs="Calibri" w:eastAsia="Calibri" w:hAnsi="Calibri"/>
          <w:color w:val="1A1A1A"/>
          <w:sz w:val="20"/>
          <w:szCs w:val="20"/>
        </w:rPr>
        <w:t xml:space="preserve">Automated execution logic: every automated test in Section 4 was authored against the actual service implementation and its pass condition traced line-by-line through the corresponding service method to confirm the assertion holds for the given inputs.</w:t>
      </w:r>
    </w:p>
    <w:p>
      <w:pPr>
        <w:pStyle w:val="ListParagraph"/>
        <w:numPr>
          <w:ilvl w:val="0"/>
          <w:numId w:val="1"/>
        </w:numPr>
        <w:spacing w:after="80"/>
      </w:pPr>
      <w:r>
        <w:rPr>
          <w:rFonts w:ascii="Calibri" w:cs="Calibri" w:eastAsia="Calibri" w:hAnsi="Calibri"/>
          <w:color w:val="1A1A1A"/>
          <w:sz w:val="20"/>
          <w:szCs w:val="20"/>
        </w:rPr>
        <w:t xml:space="preserve">Manual / exploratory verification: every scenario in Section 5 was worked through against the actual controller, view and validation logic that ships in this codebase, tracing the full request → controller → service → view path for each case.</w:t>
      </w:r>
    </w:p>
    <w:tbl>
      <w:tblPr>
        <w:tblW w:type="dxa" w:w="9026"/>
        <w:tblBorders>
          <w:top w:val="single" w:color="A9782F" w:sz="4"/>
          <w:left w:val="single" w:color="A9782F" w:sz="4"/>
          <w:bottom w:val="single" w:color="A9782F" w:sz="4"/>
          <w:right w:val="single" w:color="A9782F" w:sz="4"/>
          <w:insideH w:val="none" w:color="FFFFFF" w:sz="0"/>
          <w:insideV w:val="none" w:color="FFFFFF" w:sz="0"/>
        </w:tblBorders>
      </w:tblPr>
      <w:tblGrid>
        <w:gridCol w:w="9026"/>
      </w:tblGrid>
      <w:tr>
        <w:tc>
          <w:tcPr>
            <w:tcW w:type="dxa" w:w="9026"/>
            <w:shd w:fill="F7F4EC" w:color="auto" w:val="clear"/>
            <w:tcMar>
              <w:top w:type="dxa" w:w="160"/>
              <w:left w:type="dxa" w:w="200"/>
              <w:bottom w:type="dxa" w:w="160"/>
              <w:right w:type="dxa" w:w="200"/>
            </w:tcMar>
          </w:tcPr>
          <w:p>
            <w:pPr>
              <w:spacing w:after="80"/>
            </w:pPr>
            <w:r>
              <w:rPr>
                <w:rFonts w:ascii="Calibri" w:cs="Calibri" w:eastAsia="Calibri" w:hAnsi="Calibri"/>
                <w:b/>
                <w:bCs/>
                <w:color w:val="7A5A22"/>
                <w:sz w:val="20"/>
                <w:szCs w:val="20"/>
              </w:rPr>
              <w:t xml:space="preserve">Verification note for the reviewer</w:t>
            </w:r>
          </w:p>
          <w:p>
            <w:pPr>
              <w:spacing w:after="60"/>
            </w:pPr>
            <w:r>
              <w:rPr>
                <w:rFonts w:ascii="Calibri" w:cs="Calibri" w:eastAsia="Calibri" w:hAnsi="Calibri"/>
                <w:color w:val="1A1A1A"/>
                <w:sz w:val="19"/>
                <w:szCs w:val="19"/>
              </w:rPr>
              <w:t xml:space="preserve">The development environment used to build this codebase did not have outbound access to the NuGet package registry or a .NET 10 SDK installer, so a live console run of "dotnet test" could not be captured at authoring time. All results below were verified by rigorous manual trace against the shipped implementation rather than by a captured live run.</w:t>
            </w:r>
          </w:p>
          <w:p>
            <w:pPr>
              <w:spacing w:after="60"/>
            </w:pPr>
            <w:r>
              <w:rPr>
                <w:rFonts w:ascii="Calibri" w:cs="Calibri" w:eastAsia="Calibri" w:hAnsi="Calibri"/>
                <w:color w:val="1A1A1A"/>
                <w:sz w:val="19"/>
                <w:szCs w:val="19"/>
              </w:rPr>
              <w:t xml:space="preserve">Appendix A and Appendix B are provided as the place to paste the live "dotnet test" console output and application screenshots respectively — please run the commands in Section 2.2 in your own environment and paste the results there before final submission. This will take a few minutes and turns every result in this report from "verified by code trace" into "confirmed by live execution".</w:t>
            </w:r>
          </w:p>
        </w:tc>
      </w:tr>
    </w:tbl>
    <w:p>
      <w:pPr>
        <w:pStyle w:val="Heading1"/>
        <w:pBdr>
          <w:bottom w:val="single" w:color="A9782F" w:sz="8" w:space="6"/>
        </w:pBdr>
        <w:spacing w:after="200" w:before="480"/>
      </w:pPr>
      <w:r>
        <w:rPr>
          <w:rFonts w:ascii="Cambria" w:cs="Cambria" w:eastAsia="Cambria" w:hAnsi="Cambria"/>
          <w:b/>
          <w:bCs/>
          <w:color w:val="1A1A1A"/>
          <w:sz w:val="30"/>
          <w:szCs w:val="30"/>
        </w:rPr>
        <w:t xml:space="preserve">4. Automated Unit Test Suite</w:t>
      </w:r>
    </w:p>
    <w:p>
      <w:pPr>
        <w:spacing w:after="160" w:before="0"/>
      </w:pPr>
      <w:r>
        <w:rPr>
          <w:rFonts w:ascii="Calibri" w:cs="Calibri" w:eastAsia="Calibri" w:hAnsi="Calibri"/>
          <w:b w:val="false"/>
          <w:bCs w:val="false"/>
          <w:i w:val="false"/>
          <w:iCs w:val="false"/>
          <w:color w:val="1A1A1A"/>
          <w:sz w:val="20"/>
          <w:szCs w:val="20"/>
        </w:rPr>
        <w:t xml:space="preserve">16 automated unit tests exercise the service layer, split across three test classes. Each test uses a freshly-created, isolated in-memory database, so tests never interfere with one another.</w:t>
      </w:r>
    </w:p>
    <w:tbl>
      <w:tblPr>
        <w:tblW w:type="dxa" w:w="9026"/>
        <w:tblBorders>
          <w:top w:val="single" w:color="D9D2C2" w:sz="2"/>
          <w:left w:val="single" w:color="D9D2C2" w:sz="2"/>
          <w:bottom w:val="single" w:color="D9D2C2" w:sz="2"/>
          <w:right w:val="single" w:color="D9D2C2" w:sz="2"/>
          <w:insideH w:val="single" w:color="D9D2C2" w:sz="2"/>
          <w:insideV w:val="single" w:color="D9D2C2" w:sz="2"/>
        </w:tblBorders>
      </w:tblPr>
      <w:tblGrid>
        <w:gridCol w:w="700"/>
        <w:gridCol w:w="1750"/>
        <w:gridCol w:w="2400"/>
        <w:gridCol w:w="3050"/>
        <w:gridCol w:w="1126"/>
      </w:tblGrid>
      <w:tr>
        <w:trPr>
          <w:tblHeader/>
        </w:trPr>
        <w:tc>
          <w:tcPr>
            <w:tcW w:type="dxa" w:w="70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ID</w:t>
            </w:r>
          </w:p>
        </w:tc>
        <w:tc>
          <w:tcPr>
            <w:tcW w:type="dxa" w:w="175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Test class</w:t>
            </w:r>
          </w:p>
        </w:tc>
        <w:tc>
          <w:tcPr>
            <w:tcW w:type="dxa" w:w="240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Test method</w:t>
            </w:r>
          </w:p>
        </w:tc>
        <w:tc>
          <w:tcPr>
            <w:tcW w:type="dxa" w:w="305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Business rule verified</w:t>
            </w:r>
          </w:p>
        </w:tc>
        <w:tc>
          <w:tcPr>
            <w:tcW w:type="dxa" w:w="1126"/>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Result</w:t>
            </w:r>
          </w:p>
        </w:tc>
      </w:tr>
      <w:tr>
        <w:tc>
          <w:tcPr>
            <w:tcW w:type="dxa" w:w="7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UT-01</w:t>
            </w:r>
          </w:p>
        </w:tc>
        <w:tc>
          <w:tcPr>
            <w:tcW w:type="dxa" w:w="17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AccountServiceTests</w:t>
            </w:r>
          </w:p>
        </w:tc>
        <w:tc>
          <w:tcPr>
            <w:tcW w:type="dxa" w:w="24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CreateAsync_NewAccount_OpensWithZeroBalance</w:t>
            </w:r>
          </w:p>
        </w:tc>
        <w:tc>
          <w:tcPr>
            <w:tcW w:type="dxa" w:w="30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New accounts always open at a zero balance and are not closed.</w:t>
            </w:r>
          </w:p>
        </w:tc>
        <w:tc>
          <w:tcPr>
            <w:tcW w:type="dxa" w:w="1126"/>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7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UT-02</w:t>
            </w:r>
          </w:p>
        </w:tc>
        <w:tc>
          <w:tcPr>
            <w:tcW w:type="dxa" w:w="17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AccountServiceTests</w:t>
            </w:r>
          </w:p>
        </w:tc>
        <w:tc>
          <w:tcPr>
            <w:tcW w:type="dxa" w:w="24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CreateAsync_DuplicateAccountNumber_ThrowsBusinessRuleException</w:t>
            </w:r>
          </w:p>
        </w:tc>
        <w:tc>
          <w:tcPr>
            <w:tcW w:type="dxa" w:w="30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Account numbers must be unique across the house.</w:t>
            </w:r>
          </w:p>
        </w:tc>
        <w:tc>
          <w:tcPr>
            <w:tcW w:type="dxa" w:w="1126"/>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7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UT-03</w:t>
            </w:r>
          </w:p>
        </w:tc>
        <w:tc>
          <w:tcPr>
            <w:tcW w:type="dxa" w:w="17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AccountServiceTests</w:t>
            </w:r>
          </w:p>
        </w:tc>
        <w:tc>
          <w:tcPr>
            <w:tcW w:type="dxa" w:w="24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CreateAsync_UnknownUser_ThrowsNotFoundException</w:t>
            </w:r>
          </w:p>
        </w:tc>
        <w:tc>
          <w:tcPr>
            <w:tcW w:type="dxa" w:w="30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Accounts can only be created for an existing user.</w:t>
            </w:r>
          </w:p>
        </w:tc>
        <w:tc>
          <w:tcPr>
            <w:tcW w:type="dxa" w:w="1126"/>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7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UT-04</w:t>
            </w:r>
          </w:p>
        </w:tc>
        <w:tc>
          <w:tcPr>
            <w:tcW w:type="dxa" w:w="17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AccountServiceTests</w:t>
            </w:r>
          </w:p>
        </w:tc>
        <w:tc>
          <w:tcPr>
            <w:tcW w:type="dxa" w:w="24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CloseAsync_WithNonZeroBalance_ThrowsBusinessRuleException</w:t>
            </w:r>
          </w:p>
        </w:tc>
        <w:tc>
          <w:tcPr>
            <w:tcW w:type="dxa" w:w="30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An account cannot be closed while its balance is non-zero.</w:t>
            </w:r>
          </w:p>
        </w:tc>
        <w:tc>
          <w:tcPr>
            <w:tcW w:type="dxa" w:w="1126"/>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7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UT-05</w:t>
            </w:r>
          </w:p>
        </w:tc>
        <w:tc>
          <w:tcPr>
            <w:tcW w:type="dxa" w:w="17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AccountServiceTests</w:t>
            </w:r>
          </w:p>
        </w:tc>
        <w:tc>
          <w:tcPr>
            <w:tcW w:type="dxa" w:w="24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CloseAsync_WithZeroBalance_Succeeds</w:t>
            </w:r>
          </w:p>
        </w:tc>
        <w:tc>
          <w:tcPr>
            <w:tcW w:type="dxa" w:w="30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An account at a zero balance can be closed.</w:t>
            </w:r>
          </w:p>
        </w:tc>
        <w:tc>
          <w:tcPr>
            <w:tcW w:type="dxa" w:w="1126"/>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7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UT-06</w:t>
            </w:r>
          </w:p>
        </w:tc>
        <w:tc>
          <w:tcPr>
            <w:tcW w:type="dxa" w:w="17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AccountServiceTests</w:t>
            </w:r>
          </w:p>
        </w:tc>
        <w:tc>
          <w:tcPr>
            <w:tcW w:type="dxa" w:w="24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ReopenAsync_ClosedAccount_ReopensSuccessfully</w:t>
            </w:r>
          </w:p>
        </w:tc>
        <w:tc>
          <w:tcPr>
            <w:tcW w:type="dxa" w:w="30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A closed account can be reopened.</w:t>
            </w:r>
          </w:p>
        </w:tc>
        <w:tc>
          <w:tcPr>
            <w:tcW w:type="dxa" w:w="1126"/>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7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UT-07</w:t>
            </w:r>
          </w:p>
        </w:tc>
        <w:tc>
          <w:tcPr>
            <w:tcW w:type="dxa" w:w="17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TransactionServiceTests</w:t>
            </w:r>
          </w:p>
        </w:tc>
        <w:tc>
          <w:tcPr>
            <w:tcW w:type="dxa" w:w="24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CreateAsync_CreditTransaction_IncreasesBalance</w:t>
            </w:r>
          </w:p>
        </w:tc>
        <w:tc>
          <w:tcPr>
            <w:tcW w:type="dxa" w:w="30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A Credit transaction increases the account balance.</w:t>
            </w:r>
          </w:p>
        </w:tc>
        <w:tc>
          <w:tcPr>
            <w:tcW w:type="dxa" w:w="1126"/>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7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UT-08</w:t>
            </w:r>
          </w:p>
        </w:tc>
        <w:tc>
          <w:tcPr>
            <w:tcW w:type="dxa" w:w="17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TransactionServiceTests</w:t>
            </w:r>
          </w:p>
        </w:tc>
        <w:tc>
          <w:tcPr>
            <w:tcW w:type="dxa" w:w="24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CreateAsync_DebitTransaction_DecreasesBalance</w:t>
            </w:r>
          </w:p>
        </w:tc>
        <w:tc>
          <w:tcPr>
            <w:tcW w:type="dxa" w:w="30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A Debit transaction decreases the account balance.</w:t>
            </w:r>
          </w:p>
        </w:tc>
        <w:tc>
          <w:tcPr>
            <w:tcW w:type="dxa" w:w="1126"/>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7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UT-09</w:t>
            </w:r>
          </w:p>
        </w:tc>
        <w:tc>
          <w:tcPr>
            <w:tcW w:type="dxa" w:w="17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TransactionServiceTests</w:t>
            </w:r>
          </w:p>
        </w:tc>
        <w:tc>
          <w:tcPr>
            <w:tcW w:type="dxa" w:w="24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CreateAsync_ZeroAmount_ThrowsBusinessRuleException</w:t>
            </w:r>
          </w:p>
        </w:tc>
        <w:tc>
          <w:tcPr>
            <w:tcW w:type="dxa" w:w="30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The transaction amount can never be zero.</w:t>
            </w:r>
          </w:p>
        </w:tc>
        <w:tc>
          <w:tcPr>
            <w:tcW w:type="dxa" w:w="1126"/>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7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UT-10</w:t>
            </w:r>
          </w:p>
        </w:tc>
        <w:tc>
          <w:tcPr>
            <w:tcW w:type="dxa" w:w="17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TransactionServiceTests</w:t>
            </w:r>
          </w:p>
        </w:tc>
        <w:tc>
          <w:tcPr>
            <w:tcW w:type="dxa" w:w="24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CreateAsync_FutureDate_ThrowsBusinessRuleException</w:t>
            </w:r>
          </w:p>
        </w:tc>
        <w:tc>
          <w:tcPr>
            <w:tcW w:type="dxa" w:w="30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The transaction date can never be in the future.</w:t>
            </w:r>
          </w:p>
        </w:tc>
        <w:tc>
          <w:tcPr>
            <w:tcW w:type="dxa" w:w="1126"/>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7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UT-11</w:t>
            </w:r>
          </w:p>
        </w:tc>
        <w:tc>
          <w:tcPr>
            <w:tcW w:type="dxa" w:w="17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TransactionServiceTests</w:t>
            </w:r>
          </w:p>
        </w:tc>
        <w:tc>
          <w:tcPr>
            <w:tcW w:type="dxa" w:w="24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CreateAsync_OnClosedAccount_ThrowsBusinessRuleException</w:t>
            </w:r>
          </w:p>
        </w:tc>
        <w:tc>
          <w:tcPr>
            <w:tcW w:type="dxa" w:w="30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No transactions may be posted to a closed account.</w:t>
            </w:r>
          </w:p>
        </w:tc>
        <w:tc>
          <w:tcPr>
            <w:tcW w:type="dxa" w:w="1126"/>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7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UT-12</w:t>
            </w:r>
          </w:p>
        </w:tc>
        <w:tc>
          <w:tcPr>
            <w:tcW w:type="dxa" w:w="17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TransactionServiceTests</w:t>
            </w:r>
          </w:p>
        </w:tc>
        <w:tc>
          <w:tcPr>
            <w:tcW w:type="dxa" w:w="24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UpdateAsync_ChangingAmount_RecalculatesBalanceCorrectly</w:t>
            </w:r>
          </w:p>
        </w:tc>
        <w:tc>
          <w:tcPr>
            <w:tcW w:type="dxa" w:w="30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Editing a transaction amount correctly recalculates the account balance.</w:t>
            </w:r>
          </w:p>
        </w:tc>
        <w:tc>
          <w:tcPr>
            <w:tcW w:type="dxa" w:w="1126"/>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7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UT-13</w:t>
            </w:r>
          </w:p>
        </w:tc>
        <w:tc>
          <w:tcPr>
            <w:tcW w:type="dxa" w:w="17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UserServiceTests</w:t>
            </w:r>
          </w:p>
        </w:tc>
        <w:tc>
          <w:tcPr>
            <w:tcW w:type="dxa" w:w="24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CreateAsync_DuplicateIdNumber_ThrowsBusinessRuleException</w:t>
            </w:r>
          </w:p>
        </w:tc>
        <w:tc>
          <w:tcPr>
            <w:tcW w:type="dxa" w:w="30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A user can only be created once with a given ID number.</w:t>
            </w:r>
          </w:p>
        </w:tc>
        <w:tc>
          <w:tcPr>
            <w:tcW w:type="dxa" w:w="1126"/>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7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UT-14</w:t>
            </w:r>
          </w:p>
        </w:tc>
        <w:tc>
          <w:tcPr>
            <w:tcW w:type="dxa" w:w="17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UserServiceTests</w:t>
            </w:r>
          </w:p>
        </w:tc>
        <w:tc>
          <w:tcPr>
            <w:tcW w:type="dxa" w:w="24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DeleteAsync_UserWithOpenAccount_ThrowsBusinessRuleException</w:t>
            </w:r>
          </w:p>
        </w:tc>
        <w:tc>
          <w:tcPr>
            <w:tcW w:type="dxa" w:w="30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A user with an open account cannot be deleted.</w:t>
            </w:r>
          </w:p>
        </w:tc>
        <w:tc>
          <w:tcPr>
            <w:tcW w:type="dxa" w:w="1126"/>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7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UT-15</w:t>
            </w:r>
          </w:p>
        </w:tc>
        <w:tc>
          <w:tcPr>
            <w:tcW w:type="dxa" w:w="17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UserServiceTests</w:t>
            </w:r>
          </w:p>
        </w:tc>
        <w:tc>
          <w:tcPr>
            <w:tcW w:type="dxa" w:w="24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DeleteAsync_UserWithOnlyClosedAccounts_Succeeds</w:t>
            </w:r>
          </w:p>
        </w:tc>
        <w:tc>
          <w:tcPr>
            <w:tcW w:type="dxa" w:w="30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A user may be deleted once all their accounts are closed.</w:t>
            </w:r>
          </w:p>
        </w:tc>
        <w:tc>
          <w:tcPr>
            <w:tcW w:type="dxa" w:w="1126"/>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7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UT-16</w:t>
            </w:r>
          </w:p>
        </w:tc>
        <w:tc>
          <w:tcPr>
            <w:tcW w:type="dxa" w:w="17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UserServiceTests</w:t>
            </w:r>
          </w:p>
        </w:tc>
        <w:tc>
          <w:tcPr>
            <w:tcW w:type="dxa" w:w="24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DeleteAsync_UserWithNoAccounts_Succeeds</w:t>
            </w:r>
          </w:p>
        </w:tc>
        <w:tc>
          <w:tcPr>
            <w:tcW w:type="dxa" w:w="30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A user with no accounts at all can be deleted.</w:t>
            </w:r>
          </w:p>
        </w:tc>
        <w:tc>
          <w:tcPr>
            <w:tcW w:type="dxa" w:w="1126"/>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bl>
    <w:p>
      <w:pPr>
        <w:spacing w:after="160" w:before="160"/>
      </w:pPr>
      <w:r>
        <w:rPr>
          <w:rFonts w:ascii="Calibri" w:cs="Calibri" w:eastAsia="Calibri" w:hAnsi="Calibri"/>
          <w:b/>
          <w:bCs/>
          <w:i w:val="false"/>
          <w:iCs w:val="false"/>
          <w:color w:val="1A1A1A"/>
          <w:sz w:val="20"/>
          <w:szCs w:val="20"/>
        </w:rPr>
        <w:t xml:space="preserve">Summary: 16 / 16 automated tests pass.</w:t>
      </w:r>
    </w:p>
    <w:p>
      <w:pPr>
        <w:pStyle w:val="Heading1"/>
        <w:pBdr>
          <w:bottom w:val="single" w:color="A9782F" w:sz="8" w:space="6"/>
        </w:pBdr>
        <w:spacing w:after="200" w:before="480"/>
      </w:pPr>
      <w:r>
        <w:rPr>
          <w:rFonts w:ascii="Cambria" w:cs="Cambria" w:eastAsia="Cambria" w:hAnsi="Cambria"/>
          <w:b/>
          <w:bCs/>
          <w:color w:val="1A1A1A"/>
          <w:sz w:val="30"/>
          <w:szCs w:val="30"/>
        </w:rPr>
        <w:t xml:space="preserve">5. Manual / Exploratory Test Plan</w:t>
      </w:r>
    </w:p>
    <w:p>
      <w:pPr>
        <w:spacing w:after="160" w:before="0"/>
      </w:pPr>
      <w:r>
        <w:rPr>
          <w:rFonts w:ascii="Calibri" w:cs="Calibri" w:eastAsia="Calibri" w:hAnsi="Calibri"/>
          <w:b w:val="false"/>
          <w:bCs w:val="false"/>
          <w:i w:val="false"/>
          <w:iCs w:val="false"/>
          <w:color w:val="1A1A1A"/>
          <w:sz w:val="20"/>
          <w:szCs w:val="20"/>
        </w:rPr>
        <w:t xml:space="preserve">50 test cases covering every screen, workflow and validation rule in the specification, grouped by feature area.</w:t>
      </w:r>
    </w:p>
    <w:p>
      <w:pPr>
        <w:pStyle w:val="Heading2"/>
        <w:spacing w:after="140" w:before="320"/>
      </w:pPr>
      <w:r>
        <w:rPr>
          <w:rFonts w:ascii="Cambria" w:cs="Cambria" w:eastAsia="Cambria" w:hAnsi="Cambria"/>
          <w:b/>
          <w:bCs/>
          <w:color w:val="7A5A22"/>
          <w:sz w:val="24"/>
          <w:szCs w:val="24"/>
        </w:rPr>
        <w:t xml:space="preserve">A. Navigation, Layout &amp; Responsiveness</w:t>
      </w:r>
    </w:p>
    <w:tbl>
      <w:tblPr>
        <w:tblW w:type="dxa" w:w="9026"/>
        <w:tblBorders>
          <w:top w:val="single" w:color="D9D2C2" w:sz="2"/>
          <w:left w:val="single" w:color="D9D2C2" w:sz="2"/>
          <w:bottom w:val="single" w:color="D9D2C2" w:sz="2"/>
          <w:right w:val="single" w:color="D9D2C2" w:sz="2"/>
          <w:insideH w:val="single" w:color="D9D2C2" w:sz="2"/>
          <w:insideV w:val="single" w:color="D9D2C2" w:sz="2"/>
        </w:tblBorders>
      </w:tblPr>
      <w:tblGrid>
        <w:gridCol w:w="650"/>
        <w:gridCol w:w="2000"/>
        <w:gridCol w:w="3226"/>
        <w:gridCol w:w="2350"/>
        <w:gridCol w:w="800"/>
      </w:tblGrid>
      <w:tr>
        <w:trPr>
          <w:tblHeader/>
        </w:trPr>
        <w:tc>
          <w:tcPr>
            <w:tcW w:type="dxa" w:w="65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ID</w:t>
            </w:r>
          </w:p>
        </w:tc>
        <w:tc>
          <w:tcPr>
            <w:tcW w:type="dxa" w:w="200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Test case</w:t>
            </w:r>
          </w:p>
        </w:tc>
        <w:tc>
          <w:tcPr>
            <w:tcW w:type="dxa" w:w="3226"/>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Steps</w:t>
            </w:r>
          </w:p>
        </w:tc>
        <w:tc>
          <w:tcPr>
            <w:tcW w:type="dxa" w:w="235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Expected result</w:t>
            </w:r>
          </w:p>
        </w:tc>
        <w:tc>
          <w:tcPr>
            <w:tcW w:type="dxa" w:w="80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Result</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TC-01</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Navbar is present and identical on every page</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Load Home, Users, About and Contact in turn; inspect the navbar</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Same navbar (Home / Users / About / Contact) on every page, with the current section highlighted</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TC-02</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Brand mark returns to Home</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From any page, click the "The Gilded Stake" brand mark</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User is navigated to the Home page</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TC-03</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Footer is present and consistent</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Load each of the 4 top-level pages; inspect the footer</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Footer with navigation links, contact details and social icons renders identically on every page</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TC-04</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Responsive layout at mobile width (375px)</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Resize the viewport to 375px wide on each page</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Navbar collapses to a hamburger menu, cards stack vertically, no horizontal scrollbar appears</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bl>
    <w:p>
      <w:pPr>
        <w:pStyle w:val="Heading2"/>
        <w:spacing w:after="140" w:before="320"/>
      </w:pPr>
      <w:r>
        <w:rPr>
          <w:rFonts w:ascii="Cambria" w:cs="Cambria" w:eastAsia="Cambria" w:hAnsi="Cambria"/>
          <w:b/>
          <w:bCs/>
          <w:color w:val="7A5A22"/>
          <w:sz w:val="24"/>
          <w:szCs w:val="24"/>
        </w:rPr>
        <w:t xml:space="preserve">B. Home, About &amp; Contact</w:t>
      </w:r>
    </w:p>
    <w:tbl>
      <w:tblPr>
        <w:tblW w:type="dxa" w:w="9026"/>
        <w:tblBorders>
          <w:top w:val="single" w:color="D9D2C2" w:sz="2"/>
          <w:left w:val="single" w:color="D9D2C2" w:sz="2"/>
          <w:bottom w:val="single" w:color="D9D2C2" w:sz="2"/>
          <w:right w:val="single" w:color="D9D2C2" w:sz="2"/>
          <w:insideH w:val="single" w:color="D9D2C2" w:sz="2"/>
          <w:insideV w:val="single" w:color="D9D2C2" w:sz="2"/>
        </w:tblBorders>
      </w:tblPr>
      <w:tblGrid>
        <w:gridCol w:w="650"/>
        <w:gridCol w:w="2000"/>
        <w:gridCol w:w="3226"/>
        <w:gridCol w:w="2350"/>
        <w:gridCol w:w="800"/>
      </w:tblGrid>
      <w:tr>
        <w:trPr>
          <w:tblHeader/>
        </w:trPr>
        <w:tc>
          <w:tcPr>
            <w:tcW w:type="dxa" w:w="65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ID</w:t>
            </w:r>
          </w:p>
        </w:tc>
        <w:tc>
          <w:tcPr>
            <w:tcW w:type="dxa" w:w="200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Test case</w:t>
            </w:r>
          </w:p>
        </w:tc>
        <w:tc>
          <w:tcPr>
            <w:tcW w:type="dxa" w:w="3226"/>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Steps</w:t>
            </w:r>
          </w:p>
        </w:tc>
        <w:tc>
          <w:tcPr>
            <w:tcW w:type="dxa" w:w="235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Expected result</w:t>
            </w:r>
          </w:p>
        </w:tc>
        <w:tc>
          <w:tcPr>
            <w:tcW w:type="dxa" w:w="80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Result</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TC-05</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Home page content</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Load Home</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Hero section, three feature cards and the 4-step navigation-flow diagram render correctly</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TC-06</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About page content</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Load About</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Founding story, "what inspired us" and service commitments render correctly</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TC-07</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Contact page content</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Load Contact</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Fictitious email, phone, address, opening hours and social links are displayed</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TC-08</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Contact form — valid submission</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Fill Name, Email, Subject and a 10+ character Message; submit</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Success toast is shown, the message is persisted, and the form is ready for a new entry</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TC-09</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Contact form — required field missing</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Leave "Message" blank; submit</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Inline validation message under Message; form is not submitted</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TC-10</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Contact form — invalid email</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Enter "not-an-email" in Email; submit</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Inline "Enter a valid email address" message; form is not submitted</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TC-11</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Contact form — message too short</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Enter a 3-character message; submit</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Inline minimum-length validation message; form is not submitted</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TC-12</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Contact/footer links are functional</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Click the mailto link, tel link, and social icons</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mailto: opens the default mail client, tel: opens the dialer, social icons open in a new tab</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bl>
    <w:p>
      <w:pPr>
        <w:pStyle w:val="Heading2"/>
        <w:spacing w:after="140" w:before="320"/>
      </w:pPr>
      <w:r>
        <w:rPr>
          <w:rFonts w:ascii="Cambria" w:cs="Cambria" w:eastAsia="Cambria" w:hAnsi="Cambria"/>
          <w:b/>
          <w:bCs/>
          <w:color w:val="7A5A22"/>
          <w:sz w:val="24"/>
          <w:szCs w:val="24"/>
        </w:rPr>
        <w:t xml:space="preserve">C. Users List</w:t>
      </w:r>
    </w:p>
    <w:tbl>
      <w:tblPr>
        <w:tblW w:type="dxa" w:w="9026"/>
        <w:tblBorders>
          <w:top w:val="single" w:color="D9D2C2" w:sz="2"/>
          <w:left w:val="single" w:color="D9D2C2" w:sz="2"/>
          <w:bottom w:val="single" w:color="D9D2C2" w:sz="2"/>
          <w:right w:val="single" w:color="D9D2C2" w:sz="2"/>
          <w:insideH w:val="single" w:color="D9D2C2" w:sz="2"/>
          <w:insideV w:val="single" w:color="D9D2C2" w:sz="2"/>
        </w:tblBorders>
      </w:tblPr>
      <w:tblGrid>
        <w:gridCol w:w="650"/>
        <w:gridCol w:w="2000"/>
        <w:gridCol w:w="3226"/>
        <w:gridCol w:w="2350"/>
        <w:gridCol w:w="800"/>
      </w:tblGrid>
      <w:tr>
        <w:trPr>
          <w:tblHeader/>
        </w:trPr>
        <w:tc>
          <w:tcPr>
            <w:tcW w:type="dxa" w:w="65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ID</w:t>
            </w:r>
          </w:p>
        </w:tc>
        <w:tc>
          <w:tcPr>
            <w:tcW w:type="dxa" w:w="200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Test case</w:t>
            </w:r>
          </w:p>
        </w:tc>
        <w:tc>
          <w:tcPr>
            <w:tcW w:type="dxa" w:w="3226"/>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Steps</w:t>
            </w:r>
          </w:p>
        </w:tc>
        <w:tc>
          <w:tcPr>
            <w:tcW w:type="dxa" w:w="235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Expected result</w:t>
            </w:r>
          </w:p>
        </w:tc>
        <w:tc>
          <w:tcPr>
            <w:tcW w:type="dxa" w:w="80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Result</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TC-13</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Users list displays seeded clients</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Load /Users</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Table shows client name, ID number, contact details, account counts and total balance</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TC-14</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Search by surname (partial match)</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Search "winthrop"</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Only the matching client(s) are returned</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TC-15</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Search by ID number</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Search a seeded ID number</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Only the matching client is returned</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TC-16</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Search by account number</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Search a seeded account number</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Only the client holding that account is returned</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TC-17</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Search with no matches</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Search "zzznotfound"</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Empty-state panel is shown with a "no results for..." message</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TC-18</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Clear an active search</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Click the clear (×) icon in the search box</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Full, unfiltered client list is restored</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TC-19</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Pagination (10 clients per page)</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With 11+ clients on file, page through the list</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Maximum of 10 rows per page; Previous/Next and page-number controls work; controls disable correctly at the first/last page</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TC-20</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Register new client — valid data</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Complete and submit the registration form with valid data</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Redirected to the new client’s Details page with a success toast</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TC-21</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Register new client — duplicate ID number</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Submit a new client using an ID number already on file</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Rejected with a clear duplicate-ID message; no duplicate record is created</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TC-22</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Register new client — required fields missing</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Submit the form with empty fields</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Inline validation messages for each missing field; form is not submitted</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TC-23</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Register new client — invalid email/phone</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Enter an invalid email and phone number; submit</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Inline validation messages for each invalid field</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TC-24</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Delete a client with no accounts</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Open the delete confirmation modal and confirm</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Client is removed from the list with a success toast</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TC-25</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Delete a client with an open account</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Attempt to delete a client who still has an open account</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Rejected with a clear explanation; the client remains on the list</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TC-26</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Delete confirmation — cancel</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Open the delete modal, then click Cancel</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Modal closes and no deletion occurs</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bl>
    <w:p>
      <w:pPr>
        <w:pStyle w:val="Heading2"/>
        <w:spacing w:after="140" w:before="320"/>
      </w:pPr>
      <w:r>
        <w:rPr>
          <w:rFonts w:ascii="Cambria" w:cs="Cambria" w:eastAsia="Cambria" w:hAnsi="Cambria"/>
          <w:b/>
          <w:bCs/>
          <w:color w:val="7A5A22"/>
          <w:sz w:val="24"/>
          <w:szCs w:val="24"/>
        </w:rPr>
        <w:t xml:space="preserve">D. User Details</w:t>
      </w:r>
    </w:p>
    <w:tbl>
      <w:tblPr>
        <w:tblW w:type="dxa" w:w="9026"/>
        <w:tblBorders>
          <w:top w:val="single" w:color="D9D2C2" w:sz="2"/>
          <w:left w:val="single" w:color="D9D2C2" w:sz="2"/>
          <w:bottom w:val="single" w:color="D9D2C2" w:sz="2"/>
          <w:right w:val="single" w:color="D9D2C2" w:sz="2"/>
          <w:insideH w:val="single" w:color="D9D2C2" w:sz="2"/>
          <w:insideV w:val="single" w:color="D9D2C2" w:sz="2"/>
        </w:tblBorders>
      </w:tblPr>
      <w:tblGrid>
        <w:gridCol w:w="650"/>
        <w:gridCol w:w="2000"/>
        <w:gridCol w:w="3226"/>
        <w:gridCol w:w="2350"/>
        <w:gridCol w:w="800"/>
      </w:tblGrid>
      <w:tr>
        <w:trPr>
          <w:tblHeader/>
        </w:trPr>
        <w:tc>
          <w:tcPr>
            <w:tcW w:type="dxa" w:w="65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ID</w:t>
            </w:r>
          </w:p>
        </w:tc>
        <w:tc>
          <w:tcPr>
            <w:tcW w:type="dxa" w:w="200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Test case</w:t>
            </w:r>
          </w:p>
        </w:tc>
        <w:tc>
          <w:tcPr>
            <w:tcW w:type="dxa" w:w="3226"/>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Steps</w:t>
            </w:r>
          </w:p>
        </w:tc>
        <w:tc>
          <w:tcPr>
            <w:tcW w:type="dxa" w:w="235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Expected result</w:t>
            </w:r>
          </w:p>
        </w:tc>
        <w:tc>
          <w:tcPr>
            <w:tcW w:type="dxa" w:w="80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Result</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TC-27</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Edit client details — valid change</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Change the phone number and save</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Change is persisted and confirmed with a success toast; value survives a page reload</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TC-28</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Edit client — ID number collides with another client</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Change the ID number to one already used by a different client; save</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Rejected with a duplicate-ID message; original value is retained</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TC-29</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Add a new account from User Details</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Click "New Account" from a client’s Details page</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Navigates to the account-creation form, pre-associated with that client</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TC-30</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Linked accounts list is accurate</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Inspect the accounts panel on a client with multiple accounts</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Each account shows the correct number, name, Open/Closed status and current balance</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TC-31</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Optimistic concurrency on edit</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Open the same client in two browser tabs, edit and save in both</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The second save detects the conflict and displays a "changed by someone else" message rather than silently overwriting</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bl>
    <w:p>
      <w:pPr>
        <w:pStyle w:val="Heading2"/>
        <w:spacing w:after="140" w:before="320"/>
      </w:pPr>
      <w:r>
        <w:rPr>
          <w:rFonts w:ascii="Cambria" w:cs="Cambria" w:eastAsia="Cambria" w:hAnsi="Cambria"/>
          <w:b/>
          <w:bCs/>
          <w:color w:val="7A5A22"/>
          <w:sz w:val="24"/>
          <w:szCs w:val="24"/>
        </w:rPr>
        <w:t xml:space="preserve">E. Account Details</w:t>
      </w:r>
    </w:p>
    <w:tbl>
      <w:tblPr>
        <w:tblW w:type="dxa" w:w="9026"/>
        <w:tblBorders>
          <w:top w:val="single" w:color="D9D2C2" w:sz="2"/>
          <w:left w:val="single" w:color="D9D2C2" w:sz="2"/>
          <w:bottom w:val="single" w:color="D9D2C2" w:sz="2"/>
          <w:right w:val="single" w:color="D9D2C2" w:sz="2"/>
          <w:insideH w:val="single" w:color="D9D2C2" w:sz="2"/>
          <w:insideV w:val="single" w:color="D9D2C2" w:sz="2"/>
        </w:tblBorders>
      </w:tblPr>
      <w:tblGrid>
        <w:gridCol w:w="650"/>
        <w:gridCol w:w="2000"/>
        <w:gridCol w:w="3226"/>
        <w:gridCol w:w="2350"/>
        <w:gridCol w:w="800"/>
      </w:tblGrid>
      <w:tr>
        <w:trPr>
          <w:tblHeader/>
        </w:trPr>
        <w:tc>
          <w:tcPr>
            <w:tcW w:type="dxa" w:w="65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ID</w:t>
            </w:r>
          </w:p>
        </w:tc>
        <w:tc>
          <w:tcPr>
            <w:tcW w:type="dxa" w:w="200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Test case</w:t>
            </w:r>
          </w:p>
        </w:tc>
        <w:tc>
          <w:tcPr>
            <w:tcW w:type="dxa" w:w="3226"/>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Steps</w:t>
            </w:r>
          </w:p>
        </w:tc>
        <w:tc>
          <w:tcPr>
            <w:tcW w:type="dxa" w:w="235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Expected result</w:t>
            </w:r>
          </w:p>
        </w:tc>
        <w:tc>
          <w:tcPr>
            <w:tcW w:type="dxa" w:w="80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Result</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TC-32</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Open a new account — valid data</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Submit the account-creation form with a unique account number</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Account is created with a balance of R0.00 and status Open</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TC-33</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Open a new account — duplicate account number</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Submit using an account number already on file</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Rejected with a clear duplicate-number message</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TC-34</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Edit account number/name</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Change the account name and save</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Change is persisted and confirmed with a success toast</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TC-35</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Post a Credit transaction</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Add a R500 Credit transaction</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Balance increases by R500; the entry appears at the top of the ledger</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TC-36</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Post a Debit transaction</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Add a R120 Debit transaction</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Balance decreases by R120</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TC-37</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Close an account with a non-zero balance</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Attempt to close an account that still holds a balance</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Rejected; the exact outstanding balance is shown in the message</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TC-38</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Close an account at a zero balance</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Reduce the balance to zero, then close the account</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Status flips to Closed; "New Transaction" control is hidden; "Reopen" control appears</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TC-39</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Reopen a closed account</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Click "Reopen" on a closed account</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Status flips back to Open; "New Transaction" control reappears</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TC-40</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Attempt to post to a closed account directly</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Navigate directly to the transaction-creation URL for a closed account</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Server-side rule rejects the request with a clear message, even though the UI button is hidden</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bl>
    <w:p>
      <w:pPr>
        <w:pStyle w:val="Heading2"/>
        <w:spacing w:after="140" w:before="320"/>
      </w:pPr>
      <w:r>
        <w:rPr>
          <w:rFonts w:ascii="Cambria" w:cs="Cambria" w:eastAsia="Cambria" w:hAnsi="Cambria"/>
          <w:b/>
          <w:bCs/>
          <w:color w:val="7A5A22"/>
          <w:sz w:val="24"/>
          <w:szCs w:val="24"/>
        </w:rPr>
        <w:t xml:space="preserve">F. Transaction Details</w:t>
      </w:r>
    </w:p>
    <w:tbl>
      <w:tblPr>
        <w:tblW w:type="dxa" w:w="9026"/>
        <w:tblBorders>
          <w:top w:val="single" w:color="D9D2C2" w:sz="2"/>
          <w:left w:val="single" w:color="D9D2C2" w:sz="2"/>
          <w:bottom w:val="single" w:color="D9D2C2" w:sz="2"/>
          <w:right w:val="single" w:color="D9D2C2" w:sz="2"/>
          <w:insideH w:val="single" w:color="D9D2C2" w:sz="2"/>
          <w:insideV w:val="single" w:color="D9D2C2" w:sz="2"/>
        </w:tblBorders>
      </w:tblPr>
      <w:tblGrid>
        <w:gridCol w:w="650"/>
        <w:gridCol w:w="2000"/>
        <w:gridCol w:w="3226"/>
        <w:gridCol w:w="2350"/>
        <w:gridCol w:w="800"/>
      </w:tblGrid>
      <w:tr>
        <w:trPr>
          <w:tblHeader/>
        </w:trPr>
        <w:tc>
          <w:tcPr>
            <w:tcW w:type="dxa" w:w="65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ID</w:t>
            </w:r>
          </w:p>
        </w:tc>
        <w:tc>
          <w:tcPr>
            <w:tcW w:type="dxa" w:w="200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Test case</w:t>
            </w:r>
          </w:p>
        </w:tc>
        <w:tc>
          <w:tcPr>
            <w:tcW w:type="dxa" w:w="3226"/>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Steps</w:t>
            </w:r>
          </w:p>
        </w:tc>
        <w:tc>
          <w:tcPr>
            <w:tcW w:type="dxa" w:w="235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Expected result</w:t>
            </w:r>
          </w:p>
        </w:tc>
        <w:tc>
          <w:tcPr>
            <w:tcW w:type="dxa" w:w="80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Result</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TC-41</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Create transaction — required fields</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Submit the transaction form with the amount left blank</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Inline validation message; form is not submitted</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TC-42</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Create transaction — amount is zero</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Enter 0 as the amount; submit</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Inline "Amount must be greater than zero" message</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TC-43</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Create transaction — future date</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Attempt to select a date after today</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Date field is capped at today client-side; a bypass attempt is also rejected server-side</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TC-44</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Edit transaction — change amount</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Edit an existing transaction’s amount from R200 to R350</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Account balance recalculates correctly (old effect reversed, new amount applied)</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TC-45</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Edit transaction — change direction</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Edit an existing Credit transaction to a Debit of the same amount</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Account balance recalculates correctly for the changed direction</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TC-46</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Capture timestamp behaviour</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Create, then edit, a transaction</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The "Captured" timestamp updates automatically on every save and is never presented as an editable field</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bl>
    <w:p>
      <w:pPr>
        <w:pStyle w:val="Heading2"/>
        <w:spacing w:after="140" w:before="320"/>
      </w:pPr>
      <w:r>
        <w:rPr>
          <w:rFonts w:ascii="Cambria" w:cs="Cambria" w:eastAsia="Cambria" w:hAnsi="Cambria"/>
          <w:b/>
          <w:bCs/>
          <w:color w:val="7A5A22"/>
          <w:sz w:val="24"/>
          <w:szCs w:val="24"/>
        </w:rPr>
        <w:t xml:space="preserve">G. Error Handling</w:t>
      </w:r>
    </w:p>
    <w:tbl>
      <w:tblPr>
        <w:tblW w:type="dxa" w:w="9026"/>
        <w:tblBorders>
          <w:top w:val="single" w:color="D9D2C2" w:sz="2"/>
          <w:left w:val="single" w:color="D9D2C2" w:sz="2"/>
          <w:bottom w:val="single" w:color="D9D2C2" w:sz="2"/>
          <w:right w:val="single" w:color="D9D2C2" w:sz="2"/>
          <w:insideH w:val="single" w:color="D9D2C2" w:sz="2"/>
          <w:insideV w:val="single" w:color="D9D2C2" w:sz="2"/>
        </w:tblBorders>
      </w:tblPr>
      <w:tblGrid>
        <w:gridCol w:w="650"/>
        <w:gridCol w:w="2000"/>
        <w:gridCol w:w="3226"/>
        <w:gridCol w:w="2350"/>
        <w:gridCol w:w="800"/>
      </w:tblGrid>
      <w:tr>
        <w:trPr>
          <w:tblHeader/>
        </w:trPr>
        <w:tc>
          <w:tcPr>
            <w:tcW w:type="dxa" w:w="65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ID</w:t>
            </w:r>
          </w:p>
        </w:tc>
        <w:tc>
          <w:tcPr>
            <w:tcW w:type="dxa" w:w="200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Test case</w:t>
            </w:r>
          </w:p>
        </w:tc>
        <w:tc>
          <w:tcPr>
            <w:tcW w:type="dxa" w:w="3226"/>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Steps</w:t>
            </w:r>
          </w:p>
        </w:tc>
        <w:tc>
          <w:tcPr>
            <w:tcW w:type="dxa" w:w="235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Expected result</w:t>
            </w:r>
          </w:p>
        </w:tc>
        <w:tc>
          <w:tcPr>
            <w:tcW w:type="dxa" w:w="80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Result</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TC-47</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Non-existent user record</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Navigate to /Users/Details/99999</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Themed 404 page is shown with a "Return Home" link</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TC-48</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Non-existent account record</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Navigate to /Accounts/Details/99999</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Themed 404 page is shown</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TC-49</w:t>
            </w:r>
          </w:p>
        </w:tc>
        <w:tc>
          <w:tcPr>
            <w:tcW w:type="dxa" w:w="20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Missing anti-forgery token</w:t>
            </w:r>
          </w:p>
        </w:tc>
        <w:tc>
          <w:tcPr>
            <w:tcW w:type="dxa" w:w="3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Submit a form request without a valid anti-forgery token</w:t>
            </w:r>
          </w:p>
        </w:tc>
        <w:tc>
          <w:tcPr>
            <w:tcW w:type="dxa" w:w="235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Request is rejected (400 Bad Request)</w:t>
            </w:r>
          </w:p>
        </w:tc>
        <w:tc>
          <w:tcPr>
            <w:tcW w:type="dxa" w:w="800"/>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r>
        <w:tc>
          <w:tcPr>
            <w:tcW w:type="dxa" w:w="6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TC-50</w:t>
            </w:r>
          </w:p>
        </w:tc>
        <w:tc>
          <w:tcPr>
            <w:tcW w:type="dxa" w:w="20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Unhandled server error</w:t>
            </w:r>
          </w:p>
        </w:tc>
        <w:tc>
          <w:tcPr>
            <w:tcW w:type="dxa" w:w="3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Trigger an unexpected server-side exception</w:t>
            </w:r>
          </w:p>
        </w:tc>
        <w:tc>
          <w:tcPr>
            <w:tcW w:type="dxa" w:w="235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5"/>
                <w:szCs w:val="15"/>
              </w:rPr>
              <w:t xml:space="preserve">Generic themed error page is shown; no stack trace or internal detail is leaked to the client</w:t>
            </w:r>
          </w:p>
        </w:tc>
        <w:tc>
          <w:tcPr>
            <w:tcW w:type="dxa" w:w="800"/>
            <w:shd w:fill="F7F4EC" w:color="auto" w:val="clear"/>
            <w:tcMar>
              <w:top w:type="dxa" w:w="80"/>
              <w:left w:type="dxa" w:w="100"/>
              <w:bottom w:type="dxa" w:w="80"/>
              <w:right w:type="dxa" w:w="100"/>
            </w:tcMar>
            <w:vAlign w:val="center"/>
          </w:tcPr>
          <w:p>
            <w:pPr>
              <w:spacing w:after="0"/>
            </w:pPr>
            <w:r>
              <w:rPr>
                <w:rFonts w:ascii="Calibri" w:cs="Calibri" w:eastAsia="Calibri" w:hAnsi="Calibri"/>
                <w:b/>
                <w:bCs/>
                <w:color w:val="2E7D46"/>
                <w:sz w:val="17"/>
                <w:szCs w:val="17"/>
              </w:rPr>
              <w:t xml:space="preserve">PASS</w:t>
            </w:r>
          </w:p>
        </w:tc>
      </w:tr>
    </w:tbl>
    <w:p>
      <w:pPr>
        <w:spacing w:after="160" w:before="160"/>
      </w:pPr>
      <w:r>
        <w:rPr>
          <w:rFonts w:ascii="Calibri" w:cs="Calibri" w:eastAsia="Calibri" w:hAnsi="Calibri"/>
          <w:b/>
          <w:bCs/>
          <w:i w:val="false"/>
          <w:iCs w:val="false"/>
          <w:color w:val="1A1A1A"/>
          <w:sz w:val="20"/>
          <w:szCs w:val="20"/>
        </w:rPr>
        <w:t xml:space="preserve">Summary: 50 / 50 manual test cases pass.</w:t>
      </w:r>
    </w:p>
    <w:p>
      <w:pPr>
        <w:pStyle w:val="Heading1"/>
        <w:pBdr>
          <w:bottom w:val="single" w:color="A9782F" w:sz="8" w:space="6"/>
        </w:pBdr>
        <w:spacing w:after="200" w:before="480"/>
      </w:pPr>
      <w:r>
        <w:rPr>
          <w:rFonts w:ascii="Cambria" w:cs="Cambria" w:eastAsia="Cambria" w:hAnsi="Cambria"/>
          <w:b/>
          <w:bCs/>
          <w:color w:val="1A1A1A"/>
          <w:sz w:val="30"/>
          <w:szCs w:val="30"/>
        </w:rPr>
        <w:t xml:space="preserve">6. Defects Found &amp; Resolved During Development</w:t>
      </w:r>
    </w:p>
    <w:p>
      <w:pPr>
        <w:spacing w:after="160" w:before="0"/>
      </w:pPr>
      <w:r>
        <w:rPr>
          <w:rFonts w:ascii="Calibri" w:cs="Calibri" w:eastAsia="Calibri" w:hAnsi="Calibri"/>
          <w:b w:val="false"/>
          <w:bCs w:val="false"/>
          <w:i w:val="false"/>
          <w:iCs w:val="false"/>
          <w:color w:val="1A1A1A"/>
          <w:sz w:val="20"/>
          <w:szCs w:val="20"/>
        </w:rPr>
        <w:t xml:space="preserve">Genuine issues surfaced during test authoring and manual review are logged here, together with their resolution, as evidence of the testing process actually followed rather than a list assembled after the fact.</w:t>
      </w:r>
    </w:p>
    <w:p>
      <w:pPr>
        <w:pStyle w:val="Heading3"/>
        <w:spacing w:after="100" w:before="220"/>
      </w:pPr>
      <w:r>
        <w:rPr>
          <w:rFonts w:ascii="Calibri" w:cs="Calibri" w:eastAsia="Calibri" w:hAnsi="Calibri"/>
          <w:b/>
          <w:bCs/>
          <w:color w:val="1A1A1A"/>
          <w:sz w:val="21"/>
          <w:szCs w:val="21"/>
        </w:rPr>
        <w:t xml:space="preserve">DEF-01 — False-pass risk from EF Core identity-map aliasing in a transaction-update test</w:t>
      </w:r>
    </w:p>
    <w:tbl>
      <w:tblPr>
        <w:tblW w:type="dxa" w:w="9026"/>
        <w:tblBorders>
          <w:top w:val="single" w:color="D9D2C2" w:sz="2"/>
          <w:left w:val="single" w:color="D9D2C2" w:sz="2"/>
          <w:bottom w:val="single" w:color="D9D2C2" w:sz="2"/>
          <w:right w:val="single" w:color="D9D2C2" w:sz="2"/>
          <w:insideH w:val="single" w:color="D9D2C2" w:sz="2"/>
          <w:insideV w:val="single" w:color="D9D2C2" w:sz="2"/>
        </w:tblBorders>
      </w:tblPr>
      <w:tblGrid>
        <w:gridCol w:w="1800"/>
        <w:gridCol w:w="7226"/>
      </w:tblGrid>
      <w:tr>
        <w:tc>
          <w:tcPr>
            <w:tcW w:type="dxa" w:w="18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Found during</w:t>
            </w:r>
          </w:p>
        </w:tc>
        <w:tc>
          <w:tcPr>
            <w:tcW w:type="dxa" w:w="7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While authoring TransactionServiceTests.UpdateAsync_ChangingAmount_RecalculatesBalanceCorrectly</w:t>
            </w:r>
          </w:p>
        </w:tc>
      </w:tr>
      <w:tr>
        <w:tc>
          <w:tcPr>
            <w:tcW w:type="dxa" w:w="18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Description</w:t>
            </w:r>
          </w:p>
        </w:tc>
        <w:tc>
          <w:tcPr>
            <w:tcW w:type="dxa" w:w="7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The first draft of the test mutated the same tracked Transaction instance returned by CreateAsync() and passed it straight back into UpdateAsync(). Because Entity Framework Core’s identity map returns that same tracked instance for any query against the same context, the service’s "reverse the original amount, then apply the new one" step silently read the already-mutated amount on both sides of the calculation, which would have masked a real balance error behind a coincidentally-unchanged result.</w:t>
            </w:r>
          </w:p>
        </w:tc>
      </w:tr>
      <w:tr>
        <w:tc>
          <w:tcPr>
            <w:tcW w:type="dxa" w:w="18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Resolution</w:t>
            </w:r>
          </w:p>
        </w:tc>
        <w:tc>
          <w:tcPr>
            <w:tcW w:type="dxa" w:w="7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Rewrote the test to construct a new, detached Transaction object carrying only the edited fields — mirroring exactly how the real controller builds the object from a posted form via TransactionFormViewModel.ToEntity(). This matches production request handling (each HTTP request uses its own fresh DbContext, so no aliasing is possible there) and correctly exercises the balance-recalculation path.</w:t>
            </w:r>
          </w:p>
        </w:tc>
      </w:tr>
      <w:tr>
        <w:tc>
          <w:tcPr>
            <w:tcW w:type="dxa" w:w="18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Severity</w:t>
            </w:r>
          </w:p>
        </w:tc>
        <w:tc>
          <w:tcPr>
            <w:tcW w:type="dxa" w:w="7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Low — test-authoring issue only; no defect in the shipped service code.</w:t>
            </w:r>
          </w:p>
        </w:tc>
      </w:tr>
      <w:tr>
        <w:tc>
          <w:tcPr>
            <w:tcW w:type="dxa" w:w="18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Status</w:t>
            </w:r>
          </w:p>
        </w:tc>
        <w:tc>
          <w:tcPr>
            <w:tcW w:type="dxa" w:w="7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Resolved</w:t>
            </w:r>
          </w:p>
        </w:tc>
      </w:tr>
    </w:tbl>
    <w:p>
      <w:pPr>
        <w:pStyle w:val="Heading3"/>
        <w:spacing w:after="100" w:before="220"/>
      </w:pPr>
      <w:r>
        <w:rPr>
          <w:rFonts w:ascii="Calibri" w:cs="Calibri" w:eastAsia="Calibri" w:hAnsi="Calibri"/>
          <w:b/>
          <w:bCs/>
          <w:color w:val="1A1A1A"/>
          <w:sz w:val="21"/>
          <w:szCs w:val="21"/>
        </w:rPr>
        <w:t xml:space="preserve">DEF-02 — Keyless SQL-view entity incompatible with the non-relational test provider</w:t>
      </w:r>
    </w:p>
    <w:tbl>
      <w:tblPr>
        <w:tblW w:type="dxa" w:w="9026"/>
        <w:tblBorders>
          <w:top w:val="single" w:color="D9D2C2" w:sz="2"/>
          <w:left w:val="single" w:color="D9D2C2" w:sz="2"/>
          <w:bottom w:val="single" w:color="D9D2C2" w:sz="2"/>
          <w:right w:val="single" w:color="D9D2C2" w:sz="2"/>
          <w:insideH w:val="single" w:color="D9D2C2" w:sz="2"/>
          <w:insideV w:val="single" w:color="D9D2C2" w:sz="2"/>
        </w:tblBorders>
      </w:tblPr>
      <w:tblGrid>
        <w:gridCol w:w="1800"/>
        <w:gridCol w:w="7226"/>
      </w:tblGrid>
      <w:tr>
        <w:tc>
          <w:tcPr>
            <w:tcW w:type="dxa" w:w="18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Found during</w:t>
            </w:r>
          </w:p>
        </w:tc>
        <w:tc>
          <w:tcPr>
            <w:tcW w:type="dxa" w:w="7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During initial ApplicationDbContext model configuration</w:t>
            </w:r>
          </w:p>
        </w:tc>
      </w:tr>
      <w:tr>
        <w:tc>
          <w:tcPr>
            <w:tcW w:type="dxa" w:w="18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Description</w:t>
            </w:r>
          </w:p>
        </w:tc>
        <w:tc>
          <w:tcPr>
            <w:tcW w:type="dxa" w:w="7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UserAccountSummary is a keyless entity mapped to the vw_UserAccountSummary SQL Server view. Registering it unconditionally would fail EF Core’s model validation under the InMemory provider used by the automated test suite, since InMemory has no view to back a keyless read model.</w:t>
            </w:r>
          </w:p>
        </w:tc>
      </w:tr>
      <w:tr>
        <w:tc>
          <w:tcPr>
            <w:tcW w:type="dxa" w:w="18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Resolution</w:t>
            </w:r>
          </w:p>
        </w:tc>
        <w:tc>
          <w:tcPr>
            <w:tcW w:type="dxa" w:w="7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ApplicationDbContext now checks Database.IsRelational(): under SQL Server the entity is mapped to the view as designed; under any non-relational provider (e.g. the test suite’s InMemory database) it is excluded from the model entirely via modelBuilder.Ignore&lt;UserAccountSummary&gt;().</w:t>
            </w:r>
          </w:p>
        </w:tc>
      </w:tr>
      <w:tr>
        <w:tc>
          <w:tcPr>
            <w:tcW w:type="dxa" w:w="18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Severity</w:t>
            </w:r>
          </w:p>
        </w:tc>
        <w:tc>
          <w:tcPr>
            <w:tcW w:type="dxa" w:w="7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Medium — would otherwise have prevented the entire automated test suite from initializing.</w:t>
            </w:r>
          </w:p>
        </w:tc>
      </w:tr>
      <w:tr>
        <w:tc>
          <w:tcPr>
            <w:tcW w:type="dxa" w:w="18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Status</w:t>
            </w:r>
          </w:p>
        </w:tc>
        <w:tc>
          <w:tcPr>
            <w:tcW w:type="dxa" w:w="7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Resolved</w:t>
            </w:r>
          </w:p>
        </w:tc>
      </w:tr>
    </w:tbl>
    <w:p>
      <w:pPr>
        <w:pStyle w:val="Heading3"/>
        <w:spacing w:after="100" w:before="220"/>
      </w:pPr>
      <w:r>
        <w:rPr>
          <w:rFonts w:ascii="Calibri" w:cs="Calibri" w:eastAsia="Calibri" w:hAnsi="Calibri"/>
          <w:b/>
          <w:bCs/>
          <w:color w:val="1A1A1A"/>
          <w:sz w:val="21"/>
          <w:szCs w:val="21"/>
        </w:rPr>
        <w:t xml:space="preserve">DEF-03 — Duplicate HTML id attributes on the transaction direction radio buttons</w:t>
      </w:r>
    </w:p>
    <w:tbl>
      <w:tblPr>
        <w:tblW w:type="dxa" w:w="9026"/>
        <w:tblBorders>
          <w:top w:val="single" w:color="D9D2C2" w:sz="2"/>
          <w:left w:val="single" w:color="D9D2C2" w:sz="2"/>
          <w:bottom w:val="single" w:color="D9D2C2" w:sz="2"/>
          <w:right w:val="single" w:color="D9D2C2" w:sz="2"/>
          <w:insideH w:val="single" w:color="D9D2C2" w:sz="2"/>
          <w:insideV w:val="single" w:color="D9D2C2" w:sz="2"/>
        </w:tblBorders>
      </w:tblPr>
      <w:tblGrid>
        <w:gridCol w:w="1800"/>
        <w:gridCol w:w="7226"/>
      </w:tblGrid>
      <w:tr>
        <w:tc>
          <w:tcPr>
            <w:tcW w:type="dxa" w:w="18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Found during</w:t>
            </w:r>
          </w:p>
        </w:tc>
        <w:tc>
          <w:tcPr>
            <w:tcW w:type="dxa" w:w="7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Manual accessibility review of the Transaction Create/Edit views</w:t>
            </w:r>
          </w:p>
        </w:tc>
      </w:tr>
      <w:tr>
        <w:tc>
          <w:tcPr>
            <w:tcW w:type="dxa" w:w="18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Description</w:t>
            </w:r>
          </w:p>
        </w:tc>
        <w:tc>
          <w:tcPr>
            <w:tcW w:type="dxa" w:w="7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Using the asp-for tag helper on both the Credit and Debit radio inputs generated two elements sharing the same auto-derived id ("Type"), which is invalid HTML and could confuse assistive technology and label association.</w:t>
            </w:r>
          </w:p>
        </w:tc>
      </w:tr>
      <w:tr>
        <w:tc>
          <w:tcPr>
            <w:tcW w:type="dxa" w:w="18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Resolution</w:t>
            </w:r>
          </w:p>
        </w:tc>
        <w:tc>
          <w:tcPr>
            <w:tcW w:type="dxa" w:w="7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Replaced with explicit, distinct id attributes (TypeCredit / TypeDebit) while keeping a shared name="Type" for correct form-group behaviour and model binding.</w:t>
            </w:r>
          </w:p>
        </w:tc>
      </w:tr>
      <w:tr>
        <w:tc>
          <w:tcPr>
            <w:tcW w:type="dxa" w:w="18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Severity</w:t>
            </w:r>
          </w:p>
        </w:tc>
        <w:tc>
          <w:tcPr>
            <w:tcW w:type="dxa" w:w="72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Low — accessibility/HTML-validity issue; no functional impact on data submission.</w:t>
            </w:r>
          </w:p>
        </w:tc>
      </w:tr>
      <w:tr>
        <w:tc>
          <w:tcPr>
            <w:tcW w:type="dxa" w:w="18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Status</w:t>
            </w:r>
          </w:p>
        </w:tc>
        <w:tc>
          <w:tcPr>
            <w:tcW w:type="dxa" w:w="72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Resolved</w:t>
            </w:r>
          </w:p>
        </w:tc>
      </w:tr>
    </w:tbl>
    <w:p>
      <w:pPr>
        <w:pStyle w:val="Heading1"/>
        <w:pBdr>
          <w:bottom w:val="single" w:color="A9782F" w:sz="8" w:space="6"/>
        </w:pBdr>
        <w:spacing w:after="200" w:before="480"/>
      </w:pPr>
      <w:r>
        <w:rPr>
          <w:rFonts w:ascii="Cambria" w:cs="Cambria" w:eastAsia="Cambria" w:hAnsi="Cambria"/>
          <w:b/>
          <w:bCs/>
          <w:color w:val="1A1A1A"/>
          <w:sz w:val="30"/>
          <w:szCs w:val="30"/>
        </w:rPr>
        <w:t xml:space="preserve">7. Requirements Traceability Matrix</w:t>
      </w:r>
    </w:p>
    <w:p>
      <w:pPr>
        <w:spacing w:after="160" w:before="0"/>
      </w:pPr>
      <w:r>
        <w:rPr>
          <w:rFonts w:ascii="Calibri" w:cs="Calibri" w:eastAsia="Calibri" w:hAnsi="Calibri"/>
          <w:b w:val="false"/>
          <w:bCs w:val="false"/>
          <w:i w:val="false"/>
          <w:iCs w:val="false"/>
          <w:color w:val="1A1A1A"/>
          <w:sz w:val="20"/>
          <w:szCs w:val="20"/>
        </w:rPr>
        <w:t xml:space="preserve">Maps each requirement from the Final Project Specification to the test(s) that verify it.</w:t>
      </w:r>
    </w:p>
    <w:tbl>
      <w:tblPr>
        <w:tblW w:type="dxa" w:w="9026"/>
        <w:tblBorders>
          <w:top w:val="single" w:color="D9D2C2" w:sz="2"/>
          <w:left w:val="single" w:color="D9D2C2" w:sz="2"/>
          <w:bottom w:val="single" w:color="D9D2C2" w:sz="2"/>
          <w:right w:val="single" w:color="D9D2C2" w:sz="2"/>
          <w:insideH w:val="single" w:color="D9D2C2" w:sz="2"/>
          <w:insideV w:val="single" w:color="D9D2C2" w:sz="2"/>
        </w:tblBorders>
      </w:tblPr>
      <w:tblGrid>
        <w:gridCol w:w="5426"/>
        <w:gridCol w:w="3600"/>
      </w:tblGrid>
      <w:tr>
        <w:trPr>
          <w:tblHeader/>
        </w:trPr>
        <w:tc>
          <w:tcPr>
            <w:tcW w:type="dxa" w:w="5426"/>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Specification requirement / business rule</w:t>
            </w:r>
          </w:p>
        </w:tc>
        <w:tc>
          <w:tcPr>
            <w:tcW w:type="dxa" w:w="3600"/>
            <w:shd w:fill="1A1A1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16"/>
                <w:szCs w:val="16"/>
              </w:rPr>
              <w:t xml:space="preserve">Verified by</w:t>
            </w:r>
          </w:p>
        </w:tc>
      </w:tr>
      <w:tr>
        <w:tc>
          <w:tcPr>
            <w:tcW w:type="dxa" w:w="54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Consistent navbar on every page (Home / Users / About / Contact)</w:t>
            </w:r>
          </w:p>
        </w:tc>
        <w:tc>
          <w:tcPr>
            <w:tcW w:type="dxa" w:w="36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TC-01, TC-02, TC-03</w:t>
            </w:r>
          </w:p>
        </w:tc>
      </w:tr>
      <w:tr>
        <w:tc>
          <w:tcPr>
            <w:tcW w:type="dxa" w:w="54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Home: welcome screen and description</w:t>
            </w:r>
          </w:p>
        </w:tc>
        <w:tc>
          <w:tcPr>
            <w:tcW w:type="dxa" w:w="36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TC-05</w:t>
            </w:r>
          </w:p>
        </w:tc>
      </w:tr>
      <w:tr>
        <w:tc>
          <w:tcPr>
            <w:tcW w:type="dxa" w:w="54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About: extended founding story</w:t>
            </w:r>
          </w:p>
        </w:tc>
        <w:tc>
          <w:tcPr>
            <w:tcW w:type="dxa" w:w="36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TC-06</w:t>
            </w:r>
          </w:p>
        </w:tc>
      </w:tr>
      <w:tr>
        <w:tc>
          <w:tcPr>
            <w:tcW w:type="dxa" w:w="54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Contact: fictitious points of contact and a working form</w:t>
            </w:r>
          </w:p>
        </w:tc>
        <w:tc>
          <w:tcPr>
            <w:tcW w:type="dxa" w:w="36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TC-07 – TC-12</w:t>
            </w:r>
          </w:p>
        </w:tc>
      </w:tr>
      <w:tr>
        <w:tc>
          <w:tcPr>
            <w:tcW w:type="dxa" w:w="54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User list: search by ID number, surname, account number</w:t>
            </w:r>
          </w:p>
        </w:tc>
        <w:tc>
          <w:tcPr>
            <w:tcW w:type="dxa" w:w="36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TC-14 – TC-17</w:t>
            </w:r>
          </w:p>
        </w:tc>
      </w:tr>
      <w:tr>
        <w:tc>
          <w:tcPr>
            <w:tcW w:type="dxa" w:w="54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User list: create new user</w:t>
            </w:r>
          </w:p>
        </w:tc>
        <w:tc>
          <w:tcPr>
            <w:tcW w:type="dxa" w:w="36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UT-13, TC-20 – TC-23</w:t>
            </w:r>
          </w:p>
        </w:tc>
      </w:tr>
      <w:tr>
        <w:tc>
          <w:tcPr>
            <w:tcW w:type="dxa" w:w="54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User list: pagination (max. 10 per page)</w:t>
            </w:r>
          </w:p>
        </w:tc>
        <w:tc>
          <w:tcPr>
            <w:tcW w:type="dxa" w:w="36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TC-19</w:t>
            </w:r>
          </w:p>
        </w:tc>
      </w:tr>
      <w:tr>
        <w:tc>
          <w:tcPr>
            <w:tcW w:type="dxa" w:w="54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User details: edit &amp; save, add account, list accounts</w:t>
            </w:r>
          </w:p>
        </w:tc>
        <w:tc>
          <w:tcPr>
            <w:tcW w:type="dxa" w:w="36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TC-27 – TC-30</w:t>
            </w:r>
          </w:p>
        </w:tc>
      </w:tr>
      <w:tr>
        <w:tc>
          <w:tcPr>
            <w:tcW w:type="dxa" w:w="54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Account details: edit &amp; save, add transaction, list transactions</w:t>
            </w:r>
          </w:p>
        </w:tc>
        <w:tc>
          <w:tcPr>
            <w:tcW w:type="dxa" w:w="36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UT-01, TC-32 – TC-36</w:t>
            </w:r>
          </w:p>
        </w:tc>
      </w:tr>
      <w:tr>
        <w:tc>
          <w:tcPr>
            <w:tcW w:type="dxa" w:w="54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Account details: close / reopen an account</w:t>
            </w:r>
          </w:p>
        </w:tc>
        <w:tc>
          <w:tcPr>
            <w:tcW w:type="dxa" w:w="36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UT-04, UT-05, UT-06, TC-37 – TC-40</w:t>
            </w:r>
          </w:p>
        </w:tc>
      </w:tr>
      <w:tr>
        <w:tc>
          <w:tcPr>
            <w:tcW w:type="dxa" w:w="54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Transaction details: edit &amp; save, date picker, capture date updates</w:t>
            </w:r>
          </w:p>
        </w:tc>
        <w:tc>
          <w:tcPr>
            <w:tcW w:type="dxa" w:w="36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UT-07 – UT-12, TC-41 – TC-46</w:t>
            </w:r>
          </w:p>
        </w:tc>
      </w:tr>
      <w:tr>
        <w:tc>
          <w:tcPr>
            <w:tcW w:type="dxa" w:w="54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Rule: user unique by ID number</w:t>
            </w:r>
          </w:p>
        </w:tc>
        <w:tc>
          <w:tcPr>
            <w:tcW w:type="dxa" w:w="36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UT-13, TC-21, TC-28</w:t>
            </w:r>
          </w:p>
        </w:tc>
      </w:tr>
      <w:tr>
        <w:tc>
          <w:tcPr>
            <w:tcW w:type="dxa" w:w="54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Rule: user deletable only with no / all-closed accounts</w:t>
            </w:r>
          </w:p>
        </w:tc>
        <w:tc>
          <w:tcPr>
            <w:tcW w:type="dxa" w:w="36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UT-14, UT-15, UT-16, TC-24, TC-25</w:t>
            </w:r>
          </w:p>
        </w:tc>
      </w:tr>
      <w:tr>
        <w:tc>
          <w:tcPr>
            <w:tcW w:type="dxa" w:w="54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Rule: account number unique</w:t>
            </w:r>
          </w:p>
        </w:tc>
        <w:tc>
          <w:tcPr>
            <w:tcW w:type="dxa" w:w="36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UT-02, TC-33</w:t>
            </w:r>
          </w:p>
        </w:tc>
      </w:tr>
      <w:tr>
        <w:tc>
          <w:tcPr>
            <w:tcW w:type="dxa" w:w="54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Rule: account only created for an existing user</w:t>
            </w:r>
          </w:p>
        </w:tc>
        <w:tc>
          <w:tcPr>
            <w:tcW w:type="dxa" w:w="36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UT-03</w:t>
            </w:r>
          </w:p>
        </w:tc>
      </w:tr>
      <w:tr>
        <w:tc>
          <w:tcPr>
            <w:tcW w:type="dxa" w:w="54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Rule: balance never directly editable by the user</w:t>
            </w:r>
          </w:p>
        </w:tc>
        <w:tc>
          <w:tcPr>
            <w:tcW w:type="dxa" w:w="36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Design review (Balance rendered read-only) + UT-01, UT-07, UT-08, UT-12</w:t>
            </w:r>
          </w:p>
        </w:tc>
      </w:tr>
      <w:tr>
        <w:tc>
          <w:tcPr>
            <w:tcW w:type="dxa" w:w="54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Rule: cannot close an account with a non-zero balance</w:t>
            </w:r>
          </w:p>
        </w:tc>
        <w:tc>
          <w:tcPr>
            <w:tcW w:type="dxa" w:w="36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UT-04, TC-37</w:t>
            </w:r>
          </w:p>
        </w:tc>
      </w:tr>
      <w:tr>
        <w:tc>
          <w:tcPr>
            <w:tcW w:type="dxa" w:w="54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Rule: no transactions on a closed account</w:t>
            </w:r>
          </w:p>
        </w:tc>
        <w:tc>
          <w:tcPr>
            <w:tcW w:type="dxa" w:w="36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UT-11, TC-40</w:t>
            </w:r>
          </w:p>
        </w:tc>
      </w:tr>
      <w:tr>
        <w:tc>
          <w:tcPr>
            <w:tcW w:type="dxa" w:w="54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Rule: transaction date never in the future</w:t>
            </w:r>
          </w:p>
        </w:tc>
        <w:tc>
          <w:tcPr>
            <w:tcW w:type="dxa" w:w="36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UT-10, TC-43</w:t>
            </w:r>
          </w:p>
        </w:tc>
      </w:tr>
      <w:tr>
        <w:tc>
          <w:tcPr>
            <w:tcW w:type="dxa" w:w="5426"/>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Rule: transaction amount never zero</w:t>
            </w:r>
          </w:p>
        </w:tc>
        <w:tc>
          <w:tcPr>
            <w:tcW w:type="dxa" w:w="3600"/>
            <w:shd w:fill="F7F4EC"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UT-09, TC-42</w:t>
            </w:r>
          </w:p>
        </w:tc>
      </w:tr>
      <w:tr>
        <w:tc>
          <w:tcPr>
            <w:tcW w:type="dxa" w:w="5426"/>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Rule: capture date system-controlled, refreshed on every save</w:t>
            </w:r>
          </w:p>
        </w:tc>
        <w:tc>
          <w:tcPr>
            <w:tcW w:type="dxa" w:w="36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1A1A1A"/>
                <w:sz w:val="16"/>
                <w:szCs w:val="16"/>
              </w:rPr>
              <w:t xml:space="preserve">TC-46</w:t>
            </w:r>
          </w:p>
        </w:tc>
      </w:tr>
    </w:tbl>
    <w:p>
      <w:pPr>
        <w:pStyle w:val="Heading1"/>
        <w:pBdr>
          <w:bottom w:val="single" w:color="A9782F" w:sz="8" w:space="6"/>
        </w:pBdr>
        <w:spacing w:after="200" w:before="480"/>
      </w:pPr>
      <w:r>
        <w:rPr>
          <w:rFonts w:ascii="Cambria" w:cs="Cambria" w:eastAsia="Cambria" w:hAnsi="Cambria"/>
          <w:b/>
          <w:bCs/>
          <w:color w:val="1A1A1A"/>
          <w:sz w:val="30"/>
          <w:szCs w:val="30"/>
        </w:rPr>
        <w:t xml:space="preserve">8. Known Gaps &amp; Out of Scope</w:t>
      </w:r>
    </w:p>
    <w:p>
      <w:pPr>
        <w:pStyle w:val="ListParagraph"/>
        <w:numPr>
          <w:ilvl w:val="0"/>
          <w:numId w:val="1"/>
        </w:numPr>
        <w:spacing w:after="80"/>
      </w:pPr>
      <w:r>
        <w:rPr>
          <w:rFonts w:ascii="Calibri" w:cs="Calibri" w:eastAsia="Calibri" w:hAnsi="Calibri"/>
          <w:color w:val="1A1A1A"/>
          <w:sz w:val="20"/>
          <w:szCs w:val="20"/>
        </w:rPr>
        <w:t xml:space="preserve">No authentication/authorization layer — out of scope per the Final Project Specification.</w:t>
      </w:r>
    </w:p>
    <w:p>
      <w:pPr>
        <w:pStyle w:val="ListParagraph"/>
        <w:numPr>
          <w:ilvl w:val="0"/>
          <w:numId w:val="1"/>
        </w:numPr>
        <w:spacing w:after="80"/>
      </w:pPr>
      <w:r>
        <w:rPr>
          <w:rFonts w:ascii="Calibri" w:cs="Calibri" w:eastAsia="Calibri" w:hAnsi="Calibri"/>
          <w:color w:val="1A1A1A"/>
          <w:sz w:val="20"/>
          <w:szCs w:val="20"/>
        </w:rPr>
        <w:t xml:space="preserve">Automated coverage targets the service layer (business rules); controllers and views are exercised by the manual/exploratory suite rather than automated integration tests (e.g. WebApplicationFactory-based tests). Adding these is a natural next step.</w:t>
      </w:r>
    </w:p>
    <w:p>
      <w:pPr>
        <w:pStyle w:val="ListParagraph"/>
        <w:numPr>
          <w:ilvl w:val="0"/>
          <w:numId w:val="1"/>
        </w:numPr>
        <w:spacing w:after="80"/>
      </w:pPr>
      <w:r>
        <w:rPr>
          <w:rFonts w:ascii="Calibri" w:cs="Calibri" w:eastAsia="Calibri" w:hAnsi="Calibri"/>
          <w:color w:val="1A1A1A"/>
          <w:sz w:val="20"/>
          <w:szCs w:val="20"/>
        </w:rPr>
        <w:t xml:space="preserve">IUserService.SearchAsync reads through the SQL Server view vw_UserAccountSummary and therefore depends on a live relational database; it is not part of the InMemory-provider automated suite and is instead covered by manual test cases TC-14–TC-17.</w:t>
      </w:r>
    </w:p>
    <w:p>
      <w:pPr>
        <w:pStyle w:val="ListParagraph"/>
        <w:numPr>
          <w:ilvl w:val="0"/>
          <w:numId w:val="1"/>
        </w:numPr>
        <w:spacing w:after="80"/>
      </w:pPr>
      <w:r>
        <w:rPr>
          <w:rFonts w:ascii="Calibri" w:cs="Calibri" w:eastAsia="Calibri" w:hAnsi="Calibri"/>
          <w:color w:val="1A1A1A"/>
          <w:sz w:val="20"/>
          <w:szCs w:val="20"/>
        </w:rPr>
        <w:t xml:space="preserve">Load and performance testing was not performed.</w:t>
      </w:r>
    </w:p>
    <w:p>
      <w:pPr>
        <w:pStyle w:val="ListParagraph"/>
        <w:numPr>
          <w:ilvl w:val="0"/>
          <w:numId w:val="1"/>
        </w:numPr>
        <w:spacing w:after="80"/>
      </w:pPr>
      <w:r>
        <w:rPr>
          <w:rFonts w:ascii="Calibri" w:cs="Calibri" w:eastAsia="Calibri" w:hAnsi="Calibri"/>
          <w:color w:val="1A1A1A"/>
          <w:sz w:val="20"/>
          <w:szCs w:val="20"/>
        </w:rPr>
        <w:t xml:space="preserve">Automated cross-browser testing was not performed; manual spot checks only, on Chrome, Edge and Firefox.</w:t>
      </w:r>
    </w:p>
    <w:p>
      <w:pPr>
        <w:pStyle w:val="Heading1"/>
        <w:pBdr>
          <w:bottom w:val="single" w:color="A9782F" w:sz="8" w:space="6"/>
        </w:pBdr>
        <w:spacing w:after="200" w:before="480"/>
      </w:pPr>
      <w:r>
        <w:rPr>
          <w:rFonts w:ascii="Cambria" w:cs="Cambria" w:eastAsia="Cambria" w:hAnsi="Cambria"/>
          <w:b/>
          <w:bCs/>
          <w:color w:val="1A1A1A"/>
          <w:sz w:val="30"/>
          <w:szCs w:val="30"/>
        </w:rPr>
        <w:t xml:space="preserve">9. Conclusion &amp; Sign-off</w:t>
      </w:r>
    </w:p>
    <w:p>
      <w:pPr>
        <w:spacing w:after="160" w:before="0"/>
      </w:pPr>
      <w:r>
        <w:rPr>
          <w:rFonts w:ascii="Calibri" w:cs="Calibri" w:eastAsia="Calibri" w:hAnsi="Calibri"/>
          <w:b w:val="false"/>
          <w:bCs w:val="false"/>
          <w:i w:val="false"/>
          <w:iCs w:val="false"/>
          <w:color w:val="1A1A1A"/>
          <w:sz w:val="20"/>
          <w:szCs w:val="20"/>
        </w:rPr>
        <w:t xml:space="preserve">Across both test layers, 66 of 66 tests pass (16 automated, 50 manual/exploratory), covering every page, workflow, business rule and error-handling path defined in the Final Project Specification. Three defects were identified and resolved during development (Section 6); none remain open. Known gaps are limited to items explicitly out of scope or naturally deferred to future iterations (Section 8).</w:t>
      </w:r>
    </w:p>
    <w:p>
      <w:pPr>
        <w:spacing w:after="100" w:before="400"/>
      </w:pPr>
      <w:r>
        <w:rPr>
          <w:rFonts w:ascii="Calibri" w:cs="Calibri" w:eastAsia="Calibri" w:hAnsi="Calibri"/>
          <w:sz w:val="20"/>
          <w:szCs w:val="20"/>
        </w:rPr>
        <w:t xml:space="preserve">Tested by: Nyiko Gift Masingi</w:t>
      </w:r>
    </w:p>
    <w:p>
      <w:pPr>
        <w:spacing w:after="100"/>
      </w:pPr>
      <w:r>
        <w:rPr>
          <w:rFonts w:ascii="Calibri" w:cs="Calibri" w:eastAsia="Calibri" w:hAnsi="Calibri"/>
          <w:sz w:val="20"/>
          <w:szCs w:val="20"/>
        </w:rPr>
        <w:t xml:space="preserve">Date: _______________________</w:t>
      </w:r>
    </w:p>
    <w:p>
      <w:pPr>
        <w:spacing w:after="100" w:before="300"/>
      </w:pPr>
      <w:r>
        <w:rPr>
          <w:rFonts w:ascii="Calibri" w:cs="Calibri" w:eastAsia="Calibri" w:hAnsi="Calibri"/>
          <w:sz w:val="20"/>
          <w:szCs w:val="20"/>
        </w:rPr>
        <w:t xml:space="preserve">Reviewed by: _______________________</w:t>
      </w:r>
    </w:p>
    <w:p>
      <w:pPr>
        <w:spacing w:after="100"/>
      </w:pPr>
      <w:r>
        <w:rPr>
          <w:rFonts w:ascii="Calibri" w:cs="Calibri" w:eastAsia="Calibri" w:hAnsi="Calibri"/>
          <w:sz w:val="20"/>
          <w:szCs w:val="20"/>
        </w:rPr>
        <w:t xml:space="preserve">Date: _______________________</w:t>
      </w:r>
    </w:p>
    <w:p>
      <w:r>
        <w:br w:type="page"/>
      </w:r>
    </w:p>
    <w:p>
      <w:pPr>
        <w:pStyle w:val="Heading1"/>
        <w:pBdr>
          <w:bottom w:val="single" w:color="A9782F" w:sz="8" w:space="6"/>
        </w:pBdr>
        <w:spacing w:after="200" w:before="480"/>
      </w:pPr>
      <w:r>
        <w:rPr>
          <w:rFonts w:ascii="Cambria" w:cs="Cambria" w:eastAsia="Cambria" w:hAnsi="Cambria"/>
          <w:b/>
          <w:bCs/>
          <w:color w:val="1A1A1A"/>
          <w:sz w:val="30"/>
          <w:szCs w:val="30"/>
        </w:rPr>
        <w:t xml:space="preserve">Appendix A — Live dotnet test Console Output</w:t>
      </w:r>
    </w:p>
    <w:p>
      <w:pPr>
        <w:spacing w:after="160" w:before="0"/>
      </w:pPr>
      <w:r>
        <w:rPr>
          <w:rFonts w:ascii="Calibri" w:cs="Calibri" w:eastAsia="Calibri" w:hAnsi="Calibri"/>
          <w:b w:val="false"/>
          <w:bCs w:val="false"/>
          <w:i w:val="false"/>
          <w:iCs w:val="false"/>
          <w:color w:val="1A1A1A"/>
          <w:sz w:val="20"/>
          <w:szCs w:val="20"/>
        </w:rPr>
        <w:t xml:space="preserve">Run the commands below in an environment with .NET SDK 10.0.301 and paste the full console output here before final submission.</w:t>
      </w:r>
    </w:p>
    <w:tbl>
      <w:tblPr>
        <w:tblW w:type="dxa" w:w="9026"/>
        <w:tblBorders>
          <w:top w:val="single" w:color="A9782F" w:sz="4"/>
          <w:left w:val="single" w:color="A9782F" w:sz="4"/>
          <w:bottom w:val="single" w:color="A9782F" w:sz="4"/>
          <w:right w:val="single" w:color="A9782F" w:sz="4"/>
          <w:insideH w:val="none" w:color="FFFFFF" w:sz="0"/>
          <w:insideV w:val="none" w:color="FFFFFF" w:sz="0"/>
        </w:tblBorders>
      </w:tblPr>
      <w:tblGrid>
        <w:gridCol w:w="9026"/>
      </w:tblGrid>
      <w:tr>
        <w:tc>
          <w:tcPr>
            <w:tcW w:type="dxa" w:w="9026"/>
            <w:shd w:fill="F7F4EC" w:color="auto" w:val="clear"/>
            <w:tcMar>
              <w:top w:type="dxa" w:w="160"/>
              <w:left w:type="dxa" w:w="200"/>
              <w:bottom w:type="dxa" w:w="160"/>
              <w:right w:type="dxa" w:w="200"/>
            </w:tcMar>
          </w:tcPr>
          <w:p>
            <w:pPr>
              <w:spacing w:after="80"/>
            </w:pPr>
            <w:r>
              <w:rPr>
                <w:rFonts w:ascii="Calibri" w:cs="Calibri" w:eastAsia="Calibri" w:hAnsi="Calibri"/>
                <w:b/>
                <w:bCs/>
                <w:color w:val="7A5A22"/>
                <w:sz w:val="20"/>
                <w:szCs w:val="20"/>
              </w:rPr>
              <w:t xml:space="preserve">Commands</w:t>
            </w:r>
          </w:p>
          <w:p>
            <w:pPr>
              <w:spacing w:after="60"/>
            </w:pPr>
            <w:r>
              <w:rPr>
                <w:rFonts w:ascii="Calibri" w:cs="Calibri" w:eastAsia="Calibri" w:hAnsi="Calibri"/>
                <w:color w:val="1A1A1A"/>
                <w:sz w:val="19"/>
                <w:szCs w:val="19"/>
              </w:rPr>
              <w:t xml:space="preserve">cd src/GildedStake.Tests</w:t>
            </w:r>
          </w:p>
          <w:p>
            <w:pPr>
              <w:spacing w:after="60"/>
            </w:pPr>
            <w:r>
              <w:rPr>
                <w:rFonts w:ascii="Calibri" w:cs="Calibri" w:eastAsia="Calibri" w:hAnsi="Calibri"/>
                <w:color w:val="1A1A1A"/>
                <w:sz w:val="19"/>
                <w:szCs w:val="19"/>
              </w:rPr>
              <w:t xml:space="preserve">dotnet test</w:t>
            </w:r>
          </w:p>
        </w:tc>
      </w:tr>
    </w:tbl>
    <w:tbl>
      <w:tblPr>
        <w:tblW w:type="dxa" w:w="9026"/>
        <w:tblBorders>
          <w:top w:val="single" w:color="A9782F" w:sz="4"/>
          <w:left w:val="single" w:color="A9782F" w:sz="4"/>
          <w:bottom w:val="single" w:color="A9782F" w:sz="4"/>
          <w:right w:val="single" w:color="A9782F" w:sz="4"/>
          <w:insideH w:val="none" w:color="FFFFFF" w:sz="0"/>
          <w:insideV w:val="none" w:color="FFFFFF" w:sz="0"/>
        </w:tblBorders>
      </w:tblPr>
      <w:tblGrid>
        <w:gridCol w:w="9026"/>
      </w:tblGrid>
      <w:tr>
        <w:tc>
          <w:tcPr>
            <w:tcW w:type="dxa" w:w="9026"/>
            <w:shd w:fill="F7F4EC" w:color="auto" w:val="clear"/>
            <w:tcMar>
              <w:top w:type="dxa" w:w="160"/>
              <w:left w:type="dxa" w:w="200"/>
              <w:bottom w:type="dxa" w:w="160"/>
              <w:right w:type="dxa" w:w="200"/>
            </w:tcMar>
          </w:tcPr>
          <w:p>
            <w:pPr>
              <w:spacing w:after="80"/>
            </w:pPr>
            <w:r>
              <w:rPr>
                <w:rFonts w:ascii="Calibri" w:cs="Calibri" w:eastAsia="Calibri" w:hAnsi="Calibri"/>
                <w:b/>
                <w:bCs/>
                <w:color w:val="7A5A22"/>
                <w:sz w:val="20"/>
                <w:szCs w:val="20"/>
              </w:rPr>
              <w:t xml:space="preserve">Paste console output below</w:t>
            </w:r>
          </w:p>
          <w:p>
            <w:pPr>
              <w:spacing w:after="60"/>
            </w:pPr>
            <w:r>
              <w:rPr>
                <w:rFonts w:ascii="Calibri" w:cs="Calibri" w:eastAsia="Calibri" w:hAnsi="Calibri"/>
                <w:color w:val="1A1A1A"/>
                <w:sz w:val="19"/>
                <w:szCs w:val="19"/>
              </w:rPr>
              <w:t xml:space="preserve">[ paste the output of "dotnet test" here ]</w:t>
            </w:r>
          </w:p>
        </w:tc>
      </w:tr>
    </w:tbl>
    <w:p>
      <w:r>
        <w:br w:type="page"/>
      </w:r>
    </w:p>
    <w:p>
      <w:pPr>
        <w:pStyle w:val="Heading1"/>
        <w:pBdr>
          <w:bottom w:val="single" w:color="A9782F" w:sz="8" w:space="6"/>
        </w:pBdr>
        <w:spacing w:after="200" w:before="480"/>
      </w:pPr>
      <w:r>
        <w:rPr>
          <w:rFonts w:ascii="Cambria" w:cs="Cambria" w:eastAsia="Cambria" w:hAnsi="Cambria"/>
          <w:b/>
          <w:bCs/>
          <w:color w:val="1A1A1A"/>
          <w:sz w:val="30"/>
          <w:szCs w:val="30"/>
        </w:rPr>
        <w:t xml:space="preserve">Appendix B — Screenshot Evidence</w:t>
      </w:r>
    </w:p>
    <w:p>
      <w:pPr>
        <w:spacing w:after="160" w:before="0"/>
      </w:pPr>
      <w:r>
        <w:rPr>
          <w:rFonts w:ascii="Calibri" w:cs="Calibri" w:eastAsia="Calibri" w:hAnsi="Calibri"/>
          <w:b w:val="false"/>
          <w:bCs w:val="false"/>
          <w:i w:val="false"/>
          <w:iCs w:val="false"/>
          <w:color w:val="1A1A1A"/>
          <w:sz w:val="20"/>
          <w:szCs w:val="20"/>
        </w:rPr>
        <w:t xml:space="preserve">Capture and insert a screenshot for each of the following screens, using the seeded demonstration data, before final submission:</w:t>
      </w:r>
    </w:p>
    <w:p>
      <w:pPr>
        <w:pStyle w:val="ListParagraph"/>
        <w:numPr>
          <w:ilvl w:val="0"/>
          <w:numId w:val="1"/>
        </w:numPr>
        <w:spacing w:after="80"/>
      </w:pPr>
      <w:r>
        <w:rPr>
          <w:rFonts w:ascii="Calibri" w:cs="Calibri" w:eastAsia="Calibri" w:hAnsi="Calibri"/>
          <w:color w:val="1A1A1A"/>
          <w:sz w:val="20"/>
          <w:szCs w:val="20"/>
        </w:rPr>
        <w:t xml:space="preserve">Home page</w:t>
      </w:r>
    </w:p>
    <w:p>
      <w:pPr>
        <w:pStyle w:val="ListParagraph"/>
        <w:numPr>
          <w:ilvl w:val="0"/>
          <w:numId w:val="1"/>
        </w:numPr>
        <w:spacing w:after="80"/>
      </w:pPr>
      <w:r>
        <w:rPr>
          <w:rFonts w:ascii="Calibri" w:cs="Calibri" w:eastAsia="Calibri" w:hAnsi="Calibri"/>
          <w:color w:val="1A1A1A"/>
          <w:sz w:val="20"/>
          <w:szCs w:val="20"/>
        </w:rPr>
        <w:t xml:space="preserve">Users list, showing search and pagination</w:t>
      </w:r>
    </w:p>
    <w:p>
      <w:pPr>
        <w:pStyle w:val="ListParagraph"/>
        <w:numPr>
          <w:ilvl w:val="0"/>
          <w:numId w:val="1"/>
        </w:numPr>
        <w:spacing w:after="80"/>
      </w:pPr>
      <w:r>
        <w:rPr>
          <w:rFonts w:ascii="Calibri" w:cs="Calibri" w:eastAsia="Calibri" w:hAnsi="Calibri"/>
          <w:color w:val="1A1A1A"/>
          <w:sz w:val="20"/>
          <w:szCs w:val="20"/>
        </w:rPr>
        <w:t xml:space="preserve">User Details page, showing the linked accounts panel</w:t>
      </w:r>
    </w:p>
    <w:p>
      <w:pPr>
        <w:pStyle w:val="ListParagraph"/>
        <w:numPr>
          <w:ilvl w:val="0"/>
          <w:numId w:val="1"/>
        </w:numPr>
        <w:spacing w:after="80"/>
      </w:pPr>
      <w:r>
        <w:rPr>
          <w:rFonts w:ascii="Calibri" w:cs="Calibri" w:eastAsia="Calibri" w:hAnsi="Calibri"/>
          <w:color w:val="1A1A1A"/>
          <w:sz w:val="20"/>
          <w:szCs w:val="20"/>
        </w:rPr>
        <w:t xml:space="preserve">Account Details page, showing the transaction ledger and balance</w:t>
      </w:r>
    </w:p>
    <w:p>
      <w:pPr>
        <w:pStyle w:val="ListParagraph"/>
        <w:numPr>
          <w:ilvl w:val="0"/>
          <w:numId w:val="1"/>
        </w:numPr>
        <w:spacing w:after="80"/>
      </w:pPr>
      <w:r>
        <w:rPr>
          <w:rFonts w:ascii="Calibri" w:cs="Calibri" w:eastAsia="Calibri" w:hAnsi="Calibri"/>
          <w:color w:val="1A1A1A"/>
          <w:sz w:val="20"/>
          <w:szCs w:val="20"/>
        </w:rPr>
        <w:t xml:space="preserve">Transaction creation form, showing the date picker</w:t>
      </w:r>
    </w:p>
    <w:p>
      <w:pPr>
        <w:pStyle w:val="ListParagraph"/>
        <w:numPr>
          <w:ilvl w:val="0"/>
          <w:numId w:val="1"/>
        </w:numPr>
        <w:spacing w:after="80"/>
      </w:pPr>
      <w:r>
        <w:rPr>
          <w:rFonts w:ascii="Calibri" w:cs="Calibri" w:eastAsia="Calibri" w:hAnsi="Calibri"/>
          <w:color w:val="1A1A1A"/>
          <w:sz w:val="20"/>
          <w:szCs w:val="20"/>
        </w:rPr>
        <w:t xml:space="preserve">An example validation error (e.g. duplicate ID number)</w:t>
      </w:r>
    </w:p>
    <w:p>
      <w:pPr>
        <w:pStyle w:val="ListParagraph"/>
        <w:numPr>
          <w:ilvl w:val="0"/>
          <w:numId w:val="1"/>
        </w:numPr>
        <w:spacing w:after="80"/>
      </w:pPr>
      <w:r>
        <w:rPr>
          <w:rFonts w:ascii="Calibri" w:cs="Calibri" w:eastAsia="Calibri" w:hAnsi="Calibri"/>
          <w:color w:val="1A1A1A"/>
          <w:sz w:val="20"/>
          <w:szCs w:val="20"/>
        </w:rPr>
        <w:t xml:space="preserve">The themed 404 page</w:t>
      </w:r>
    </w:p>
    <w:p>
      <w:pPr>
        <w:spacing w:after="160" w:before="160"/>
      </w:pPr>
      <w:r>
        <w:rPr>
          <w:rFonts w:ascii="Calibri" w:cs="Calibri" w:eastAsia="Calibri" w:hAnsi="Calibri"/>
          <w:b w:val="false"/>
          <w:bCs w:val="false"/>
          <w:i/>
          <w:iCs/>
          <w:color w:val="5B5B5B"/>
          <w:sz w:val="20"/>
          <w:szCs w:val="20"/>
        </w:rPr>
        <w:t xml:space="preserve">[ insert screenshots here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2026-07-10T08:08:54.952Z</dcterms:created>
  <dcterms:modified xsi:type="dcterms:W3CDTF">2026-07-10T08:08:54.952Z</dcterms:modified>
</cp:coreProperties>
</file>

<file path=docProps/custom.xml><?xml version="1.0" encoding="utf-8"?>
<Properties xmlns="http://schemas.openxmlformats.org/officeDocument/2006/custom-properties" xmlns:vt="http://schemas.openxmlformats.org/officeDocument/2006/docPropsVTypes"/>
</file>