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Funkcionális specifikáció – Kanban-szerű Todo</w:t>
      </w:r>
    </w:p>
    <w:p>
      <w:r>
        <w:rPr>
          <w:b w:val="0"/>
          <w:i/>
        </w:rPr>
        <w:t>Dátum: 2025-11-09</w:t>
      </w:r>
    </w:p>
    <w:p>
      <w:pPr>
        <w:pStyle w:val="Heading1"/>
      </w:pPr>
      <w:r>
        <w:t>1. Cél és kontextus</w:t>
      </w:r>
    </w:p>
    <w:p>
      <w:r>
        <w:rPr>
          <w:b w:val="0"/>
          <w:i w:val="0"/>
        </w:rPr>
        <w:t>A cél egy egyszerű, de oktatási szempontból gazdag feladatkezelő, amelyen jól bemutatható az Angular standalone ökoszisztémája.</w:t>
      </w:r>
    </w:p>
    <w:p>
      <w:pPr>
        <w:pStyle w:val="Heading1"/>
      </w:pPr>
      <w:r>
        <w:t>2. Fogalomtár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Fogalom</w:t>
            </w:r>
          </w:p>
        </w:tc>
        <w:tc>
          <w:tcPr>
            <w:tcW w:type="dxa" w:w="4320"/>
          </w:tcPr>
          <w:p>
            <w:r>
              <w:t>Definíció</w:t>
            </w:r>
          </w:p>
        </w:tc>
      </w:tr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Feladatkártya a rendszerben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Oszlop (todo/in-progress/done)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Vizuális címke (low/medium/high)</w:t>
            </w:r>
          </w:p>
        </w:tc>
      </w:tr>
      <w:tr>
        <w:tc>
          <w:tcPr>
            <w:tcW w:type="dxa" w:w="4320"/>
          </w:tcPr>
          <w:p>
            <w:r>
              <w:t>Pipe</w:t>
            </w:r>
          </w:p>
        </w:tc>
        <w:tc>
          <w:tcPr>
            <w:tcW w:type="dxa" w:w="4320"/>
          </w:tcPr>
          <w:p>
            <w:r>
              <w:t>Adattranszformáció a sablonban</w:t>
            </w:r>
          </w:p>
        </w:tc>
      </w:tr>
      <w:tr>
        <w:tc>
          <w:tcPr>
            <w:tcW w:type="dxa" w:w="4320"/>
          </w:tcPr>
          <w:p>
            <w:r>
              <w:t>Direktíva</w:t>
            </w:r>
          </w:p>
        </w:tc>
        <w:tc>
          <w:tcPr>
            <w:tcW w:type="dxa" w:w="4320"/>
          </w:tcPr>
          <w:p>
            <w:r>
              <w:t>Viselkedés/stílus bővítés a host elemen</w:t>
            </w:r>
          </w:p>
        </w:tc>
      </w:tr>
    </w:tbl>
    <w:p>
      <w:pPr>
        <w:pStyle w:val="Heading1"/>
      </w:pPr>
      <w:r>
        <w:t>3. Felhasználói történetek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Azonosító</w:t>
            </w:r>
          </w:p>
        </w:tc>
        <w:tc>
          <w:tcPr>
            <w:tcW w:type="dxa" w:w="2880"/>
          </w:tcPr>
          <w:p>
            <w:r>
              <w:t>Leírás</w:t>
            </w:r>
          </w:p>
        </w:tc>
        <w:tc>
          <w:tcPr>
            <w:tcW w:type="dxa" w:w="2880"/>
          </w:tcPr>
          <w:p>
            <w:r>
              <w:t>Elfogadási kritériumok</w:t>
            </w:r>
          </w:p>
        </w:tc>
      </w:tr>
      <w:tr>
        <w:tc>
          <w:tcPr>
            <w:tcW w:type="dxa" w:w="2880"/>
          </w:tcPr>
          <w:p>
            <w:r>
              <w:t>US-01</w:t>
            </w:r>
          </w:p>
        </w:tc>
        <w:tc>
          <w:tcPr>
            <w:tcW w:type="dxa" w:w="2880"/>
          </w:tcPr>
          <w:p>
            <w:r>
              <w:t>Listanézet 3 oszlopban</w:t>
            </w:r>
          </w:p>
        </w:tc>
        <w:tc>
          <w:tcPr>
            <w:tcW w:type="dxa" w:w="2880"/>
          </w:tcPr>
          <w:p>
            <w:r>
              <w:t>Minden Task valamelyik oszlopban megjelenik.</w:t>
            </w:r>
          </w:p>
        </w:tc>
      </w:tr>
      <w:tr>
        <w:tc>
          <w:tcPr>
            <w:tcW w:type="dxa" w:w="2880"/>
          </w:tcPr>
          <w:p>
            <w:r>
              <w:t>US-02</w:t>
            </w:r>
          </w:p>
        </w:tc>
        <w:tc>
          <w:tcPr>
            <w:tcW w:type="dxa" w:w="2880"/>
          </w:tcPr>
          <w:p>
            <w:r>
              <w:t>Keresés címre</w:t>
            </w:r>
          </w:p>
        </w:tc>
        <w:tc>
          <w:tcPr>
            <w:tcW w:type="dxa" w:w="2880"/>
          </w:tcPr>
          <w:p>
            <w:r>
              <w:t>Keresőmező befolyásolja a látható kártyákat.</w:t>
            </w:r>
          </w:p>
        </w:tc>
      </w:tr>
      <w:tr>
        <w:tc>
          <w:tcPr>
            <w:tcW w:type="dxa" w:w="2880"/>
          </w:tcPr>
          <w:p>
            <w:r>
              <w:t>US-03</w:t>
            </w:r>
          </w:p>
        </w:tc>
        <w:tc>
          <w:tcPr>
            <w:tcW w:type="dxa" w:w="2880"/>
          </w:tcPr>
          <w:p>
            <w:r>
              <w:t>Új feladat</w:t>
            </w:r>
          </w:p>
        </w:tc>
        <w:tc>
          <w:tcPr>
            <w:tcW w:type="dxa" w:w="2880"/>
          </w:tcPr>
          <w:p>
            <w:r>
              <w:t>Cím kötelező; mentés után azonnal látszik.</w:t>
            </w:r>
          </w:p>
        </w:tc>
      </w:tr>
      <w:tr>
        <w:tc>
          <w:tcPr>
            <w:tcW w:type="dxa" w:w="2880"/>
          </w:tcPr>
          <w:p>
            <w:r>
              <w:t>US-04</w:t>
            </w:r>
          </w:p>
        </w:tc>
        <w:tc>
          <w:tcPr>
            <w:tcW w:type="dxa" w:w="2880"/>
          </w:tcPr>
          <w:p>
            <w:r>
              <w:t>Prioritás állítás</w:t>
            </w:r>
          </w:p>
        </w:tc>
        <w:tc>
          <w:tcPr>
            <w:tcW w:type="dxa" w:w="2880"/>
          </w:tcPr>
          <w:p>
            <w:r>
              <w:t>Select módosítja a kártya kinézetét.</w:t>
            </w:r>
          </w:p>
        </w:tc>
      </w:tr>
      <w:tr>
        <w:tc>
          <w:tcPr>
            <w:tcW w:type="dxa" w:w="2880"/>
          </w:tcPr>
          <w:p>
            <w:r>
              <w:t>US-05</w:t>
            </w:r>
          </w:p>
        </w:tc>
        <w:tc>
          <w:tcPr>
            <w:tcW w:type="dxa" w:w="2880"/>
          </w:tcPr>
          <w:p>
            <w:r>
              <w:t>Állapot mozgatás</w:t>
            </w:r>
          </w:p>
        </w:tc>
        <w:tc>
          <w:tcPr>
            <w:tcW w:type="dxa" w:w="2880"/>
          </w:tcPr>
          <w:p>
            <w:r>
              <w:t>Balra/jobbra gombok változtatják a státuszt.</w:t>
            </w:r>
          </w:p>
        </w:tc>
      </w:tr>
      <w:tr>
        <w:tc>
          <w:tcPr>
            <w:tcW w:type="dxa" w:w="2880"/>
          </w:tcPr>
          <w:p>
            <w:r>
              <w:t>US-06</w:t>
            </w:r>
          </w:p>
        </w:tc>
        <w:tc>
          <w:tcPr>
            <w:tcW w:type="dxa" w:w="2880"/>
          </w:tcPr>
          <w:p>
            <w:r>
              <w:t>Inicializálás API-ból</w:t>
            </w:r>
          </w:p>
        </w:tc>
        <w:tc>
          <w:tcPr>
            <w:tcW w:type="dxa" w:w="2880"/>
          </w:tcPr>
          <w:p>
            <w:r>
              <w:t>Első indításkor 10 minta töltődik be.</w:t>
            </w:r>
          </w:p>
        </w:tc>
      </w:tr>
    </w:tbl>
    <w:p>
      <w:pPr>
        <w:pStyle w:val="Heading1"/>
      </w:pPr>
      <w:r>
        <w:t>4. Részletes követelmények</w:t>
      </w:r>
    </w:p>
    <w:p>
      <w:r>
        <w:rPr>
          <w:b w:val="0"/>
          <w:i w:val="0"/>
        </w:rPr>
        <w:t>4.1 Megjelenítés: három oszlop gridben, kártyák azonos stílussal, PriorityBadgeDirective színezés.</w:t>
      </w:r>
    </w:p>
    <w:p>
      <w:r>
        <w:rPr>
          <w:b w:val="0"/>
          <w:i w:val="0"/>
        </w:rPr>
        <w:t>4.2 Keresés: input mező; gépelésre azonnali szűrés (signals + computed); találatszám kiírása (TitleFilterPipe).</w:t>
      </w:r>
    </w:p>
    <w:p>
      <w:r>
        <w:rPr>
          <w:b w:val="0"/>
          <w:i w:val="0"/>
        </w:rPr>
        <w:t>4.3 Új feladat: űrlap (title kötelező), prioritás és státusz választható; mentés után alert és mezők reset.</w:t>
      </w:r>
    </w:p>
    <w:p>
      <w:r>
        <w:rPr>
          <w:b w:val="0"/>
          <w:i w:val="0"/>
        </w:rPr>
        <w:t>4.4 Prioritás: kártyán select; változáskor update() hívás.</w:t>
      </w:r>
    </w:p>
    <w:p>
      <w:r>
        <w:rPr>
          <w:b w:val="0"/>
          <w:i w:val="0"/>
        </w:rPr>
        <w:t>4.5 Mozgatás: balra/jobbra gombok; állapotlánc: todo ⇄ in-progress ⇄ done.</w:t>
      </w:r>
    </w:p>
    <w:p>
      <w:r>
        <w:rPr>
          <w:b w:val="0"/>
          <w:i w:val="0"/>
        </w:rPr>
        <w:t>4.6 Perzisztencia: localStorage; újratöltéskor megmaradnak az adatok.</w:t>
      </w:r>
    </w:p>
    <w:p>
      <w:r>
        <w:rPr>
          <w:b w:val="0"/>
          <w:i w:val="0"/>
        </w:rPr>
        <w:t>4.7 Inicializálás: JSONPlaceholder GET /todos?_limit=10; completed → status mappelés.</w:t>
      </w:r>
    </w:p>
    <w:p>
      <w:pPr>
        <w:pStyle w:val="Heading1"/>
      </w:pPr>
      <w:r>
        <w:t>5. Nem funkcionális követelmények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Leírás</w:t>
            </w:r>
          </w:p>
        </w:tc>
        <w:tc>
          <w:tcPr>
            <w:tcW w:type="dxa" w:w="2880"/>
          </w:tcPr>
          <w:p>
            <w:r>
              <w:t>Mérőszám/Elfogadás</w:t>
            </w:r>
          </w:p>
        </w:tc>
      </w:tr>
      <w:tr>
        <w:tc>
          <w:tcPr>
            <w:tcW w:type="dxa" w:w="2880"/>
          </w:tcPr>
          <w:p>
            <w:r>
              <w:t>NFR-UI</w:t>
            </w:r>
          </w:p>
        </w:tc>
        <w:tc>
          <w:tcPr>
            <w:tcW w:type="dxa" w:w="2880"/>
          </w:tcPr>
          <w:p>
            <w:r>
              <w:t>Rózsaszín, Poppins</w:t>
            </w:r>
          </w:p>
        </w:tc>
        <w:tc>
          <w:tcPr>
            <w:tcW w:type="dxa" w:w="2880"/>
          </w:tcPr>
          <w:p>
            <w:r>
              <w:t>Színkódok és font beállítva</w:t>
            </w:r>
          </w:p>
        </w:tc>
      </w:tr>
      <w:tr>
        <w:tc>
          <w:tcPr>
            <w:tcW w:type="dxa" w:w="2880"/>
          </w:tcPr>
          <w:p>
            <w:r>
              <w:t>NFR-PERF</w:t>
            </w:r>
          </w:p>
        </w:tc>
        <w:tc>
          <w:tcPr>
            <w:tcW w:type="dxa" w:w="2880"/>
          </w:tcPr>
          <w:p>
            <w:r>
              <w:t>Gyors betöltés</w:t>
            </w:r>
          </w:p>
        </w:tc>
        <w:tc>
          <w:tcPr>
            <w:tcW w:type="dxa" w:w="2880"/>
          </w:tcPr>
          <w:p>
            <w:r>
              <w:t>&lt; 2s lokálisan</w:t>
            </w:r>
          </w:p>
        </w:tc>
      </w:tr>
      <w:tr>
        <w:tc>
          <w:tcPr>
            <w:tcW w:type="dxa" w:w="2880"/>
          </w:tcPr>
          <w:p>
            <w:r>
              <w:t>NFR-READ</w:t>
            </w:r>
          </w:p>
        </w:tc>
        <w:tc>
          <w:tcPr>
            <w:tcW w:type="dxa" w:w="2880"/>
          </w:tcPr>
          <w:p>
            <w:r>
              <w:t>Erősen kommentelt kód</w:t>
            </w:r>
          </w:p>
        </w:tc>
        <w:tc>
          <w:tcPr>
            <w:tcW w:type="dxa" w:w="2880"/>
          </w:tcPr>
          <w:p>
            <w:r>
              <w:t>Minden kritikus sor dokumentált</w:t>
            </w:r>
          </w:p>
        </w:tc>
      </w:tr>
    </w:tbl>
    <w:p>
      <w:pPr>
        <w:pStyle w:val="Heading1"/>
      </w:pPr>
      <w:r>
        <w:t>6. Követelmény-követési mátrix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Követelmény</w:t>
            </w:r>
          </w:p>
        </w:tc>
        <w:tc>
          <w:tcPr>
            <w:tcW w:type="dxa" w:w="2880"/>
          </w:tcPr>
          <w:p>
            <w:r>
              <w:t>Implementáció</w:t>
            </w:r>
          </w:p>
        </w:tc>
        <w:tc>
          <w:tcPr>
            <w:tcW w:type="dxa" w:w="2880"/>
          </w:tcPr>
          <w:p>
            <w:r>
              <w:t>Teszt ID</w:t>
            </w:r>
          </w:p>
        </w:tc>
      </w:tr>
      <w:tr>
        <w:tc>
          <w:tcPr>
            <w:tcW w:type="dxa" w:w="2880"/>
          </w:tcPr>
          <w:p>
            <w:r>
              <w:t>F1 Lista 3 oszlopban</w:t>
            </w:r>
          </w:p>
        </w:tc>
        <w:tc>
          <w:tcPr>
            <w:tcW w:type="dxa" w:w="2880"/>
          </w:tcPr>
          <w:p>
            <w:r>
              <w:t>BoardComponent (todos/doing/done)</w:t>
            </w:r>
          </w:p>
        </w:tc>
        <w:tc>
          <w:tcPr>
            <w:tcW w:type="dxa" w:w="2880"/>
          </w:tcPr>
          <w:p>
            <w:r>
              <w:t>ST-01</w:t>
            </w:r>
          </w:p>
        </w:tc>
      </w:tr>
      <w:tr>
        <w:tc>
          <w:tcPr>
            <w:tcW w:type="dxa" w:w="2880"/>
          </w:tcPr>
          <w:p>
            <w:r>
              <w:t>F2 Keresés</w:t>
            </w:r>
          </w:p>
        </w:tc>
        <w:tc>
          <w:tcPr>
            <w:tcW w:type="dxa" w:w="2880"/>
          </w:tcPr>
          <w:p>
            <w:r>
              <w:t>Board.query + filtered + TitleFilterPipe</w:t>
            </w:r>
          </w:p>
        </w:tc>
        <w:tc>
          <w:tcPr>
            <w:tcW w:type="dxa" w:w="2880"/>
          </w:tcPr>
          <w:p>
            <w:r>
              <w:t>ST-02</w:t>
            </w:r>
          </w:p>
        </w:tc>
      </w:tr>
      <w:tr>
        <w:tc>
          <w:tcPr>
            <w:tcW w:type="dxa" w:w="2880"/>
          </w:tcPr>
          <w:p>
            <w:r>
              <w:t>F3 Új feladat</w:t>
            </w:r>
          </w:p>
        </w:tc>
        <w:tc>
          <w:tcPr>
            <w:tcW w:type="dxa" w:w="2880"/>
          </w:tcPr>
          <w:p>
            <w:r>
              <w:t>TaskForm.submit → TasksService.add</w:t>
            </w:r>
          </w:p>
        </w:tc>
        <w:tc>
          <w:tcPr>
            <w:tcW w:type="dxa" w:w="2880"/>
          </w:tcPr>
          <w:p>
            <w:r>
              <w:t>ST-03</w:t>
            </w:r>
          </w:p>
        </w:tc>
      </w:tr>
      <w:tr>
        <w:tc>
          <w:tcPr>
            <w:tcW w:type="dxa" w:w="2880"/>
          </w:tcPr>
          <w:p>
            <w:r>
              <w:t>F4 Prioritás állítás</w:t>
            </w:r>
          </w:p>
        </w:tc>
        <w:tc>
          <w:tcPr>
            <w:tcW w:type="dxa" w:w="2880"/>
          </w:tcPr>
          <w:p>
            <w:r>
              <w:t>Board.onPriorityChange → update</w:t>
            </w:r>
          </w:p>
        </w:tc>
        <w:tc>
          <w:tcPr>
            <w:tcW w:type="dxa" w:w="2880"/>
          </w:tcPr>
          <w:p>
            <w:r>
              <w:t>ST-04</w:t>
            </w:r>
          </w:p>
        </w:tc>
      </w:tr>
      <w:tr>
        <w:tc>
          <w:tcPr>
            <w:tcW w:type="dxa" w:w="2880"/>
          </w:tcPr>
          <w:p>
            <w:r>
              <w:t>F5 Mozgatás</w:t>
            </w:r>
          </w:p>
        </w:tc>
        <w:tc>
          <w:tcPr>
            <w:tcW w:type="dxa" w:w="2880"/>
          </w:tcPr>
          <w:p>
            <w:r>
              <w:t>Board.moveLeft/Right → update</w:t>
            </w:r>
          </w:p>
        </w:tc>
        <w:tc>
          <w:tcPr>
            <w:tcW w:type="dxa" w:w="2880"/>
          </w:tcPr>
          <w:p>
            <w:r>
              <w:t>ST-05, ST-06</w:t>
            </w:r>
          </w:p>
        </w:tc>
      </w:tr>
      <w:tr>
        <w:tc>
          <w:tcPr>
            <w:tcW w:type="dxa" w:w="2880"/>
          </w:tcPr>
          <w:p>
            <w:r>
              <w:t>F6 Inicializálás</w:t>
            </w:r>
          </w:p>
        </w:tc>
        <w:tc>
          <w:tcPr>
            <w:tcW w:type="dxa" w:w="2880"/>
          </w:tcPr>
          <w:p>
            <w:r>
              <w:t>TasksService.getAll (API→localStorage)</w:t>
            </w:r>
          </w:p>
        </w:tc>
        <w:tc>
          <w:tcPr>
            <w:tcW w:type="dxa" w:w="2880"/>
          </w:tcPr>
          <w:p>
            <w:r>
              <w:t>ST-01, ST-07</w:t>
            </w:r>
          </w:p>
        </w:tc>
      </w:tr>
    </w:tbl>
    <w:p>
      <w:pPr>
        <w:pStyle w:val="Heading1"/>
      </w:pPr>
      <w:r>
        <w:t>7. Jövőbeli bővítések</w:t>
      </w:r>
    </w:p>
    <w:p>
      <w:r>
        <w:rPr>
          <w:b w:val="0"/>
          <w:i w:val="0"/>
        </w:rPr>
        <w:t>- Drag&amp;Drop (Angular CDK), törlés, szerkesztés, i18n, E2E tesztek, role-based auth.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