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Шинжлэн судлахад суурилсан арга зүйг өгөгдөл, хиймэл оюунаар дэмжин сургуулийн өмнөх боловсролд хэрэгжүүлэх нь</w:t>
      </w:r>
    </w:p>
    <w:p>
      <w:pPr/>
      <w:r>
        <w:t xml:space="preserve">Oct 13, 2026</w:t>
      </w:r>
      <w:r>
        <w:t xml:space="preserve"> · </w:t>
      </w:r>
      <w:r>
        <w:t xml:space="preserve">@ЗОЛЦЭЦЭГ</w:t>
      </w:r>
    </w:p>
    <w:p>
      <w:pPr>
        <w:pStyle w:val="Heading2"/>
      </w:pPr>
      <w:r>
        <w:t xml:space="preserve">Хураангуй</w:t>
      </w:r>
    </w:p>
    <w:p>
      <w:pPr/>
      <w:r>
        <w:t xml:space="preserve">Энэхүү судалгаа нь Сургуулийн өмнөх боловсролын сургалтын хөтөлбөрийн (2025) </w:t>
      </w:r>
      <w:r>
        <w:rPr>
          <w:b/>
        </w:rPr>
        <w:t xml:space="preserve">шинжлэн судлахад суурилсан арга зүй</w:t>
      </w:r>
      <w:r>
        <w:t xml:space="preserve">-г өгөгдөл болон хиймэл оюуны дэмжлэгтэйгээр хэрэгжүүлэх загвар боловсруулж, түүний 4–5 настай хүүхдийн шүүн тунгаах, бүтээлчээр сэтгэх, харилцах чадамжид үзүүлэх нөлөөг тогтооход чиглэнэ. Судалгааг холимог аргаар, хичээл судлах (Lesson Study) мөчлөг бүхий үйл ажиллагааны судалгааны загвараар 3 мөчлөгт, нэг хичээлийн жилийн хугацаанд явуулна.</w:t>
      </w:r>
    </w:p>
    <w:p>
      <w:pPr/>
      <w:r>
        <w:t xml:space="preserve">Хиймэл оюуныг хүүхэд шууд ашиглах бус, </w:t>
      </w:r>
      <w:r>
        <w:rPr>
          <w:b/>
        </w:rPr>
        <w:t xml:space="preserve">багшийн туслах хэрэгсэл</w:t>
      </w:r>
      <w:r>
        <w:t xml:space="preserve"> болгоно. Тухайлбал асуулт, туршилтын санаа боловсруулах, ажиглалтын тэмдэглэлийг нэгтгэх, хүүхэд бүрийн ахицыг ялган харах зорилгоор ашиглана. Үр дүнд шинжлэн судлах үйл ажиллагааны 5 алхамт загвар, ажиглалт ба үнэлгээний хэрэгслийн багц, багш нарт зориулсан арга зүйн зөвлөмж гарна.</w:t>
      </w:r>
    </w:p>
    <w:p>
      <w:pPr/>
      <w:r>
        <w:rPr>
          <w:b/>
        </w:rPr>
        <w:t xml:space="preserve">Түлхүүр үг:</w:t>
      </w:r>
      <w:r>
        <w:t xml:space="preserve"> шинжлэн судлахад суурилсан арга зүй, сургуулийн өмнөх боловсрол, хиймэл оюун, суралцахуйн өгөгдөл, явцын үнэлгээ, хичээл судлах</w:t>
      </w:r>
    </w:p>
    <w:p>
      <w:pPr>
        <w:pStyle w:val="Heading2"/>
      </w:pPr>
      <w:r>
        <w:t xml:space="preserve">1. Удиртгал</w:t>
      </w:r>
    </w:p>
    <w:p>
      <w:pPr>
        <w:pStyle w:val="Heading3"/>
      </w:pPr>
      <w:r>
        <w:t xml:space="preserve">1.1. Сэдвийн үндэслэл</w:t>
      </w:r>
    </w:p>
    <w:p>
      <w:pPr/>
      <w:r>
        <w:t xml:space="preserve">Шинэчилсэн СӨБ-ын сургалтын хөтөлбөр нь бүтээмэл оюун, их өгөгдөл зэрэг шинэ нөхцөл байдал ирээдүйн иргэдээс олон талт чадамж шаардаж байгааг үндэслэлдээ дурдсан. Хөтөлбөр хүүхдийг мэдлэг хүлээн авагч бус, шүүмжлэлт сэтгэлгээтэй, хамтран ажилладаг бүтээлч иргэн хэмээн үздэг.</w:t>
      </w:r>
    </w:p>
    <w:p>
      <w:pPr/>
      <w:r>
        <w:t xml:space="preserve">Хөтөлбөрт тоглоом, зохиол, шинжлэн судлах, төсөлд суурилсан дөрвөн арга зүйг тодорхойлсон. Эдгээрээс шинжлэн судлах арга зүй нь “сэтгэх, ойлгох, дүгнэх, асуулт тавьж шийдэл олох чадварыг төлөвшүүлэх тул хамгийн үр нөлөөтэй” гэж хөтөлбөрт онцлон дурдсан.</w:t>
      </w:r>
    </w:p>
    <w:p>
      <w:pPr/>
      <w:r>
        <w:t xml:space="preserve">Хөтөлбөрийн зарчимд “цахим технологийг хүүхдийн нас, сэтгэхүйн онцлог, хэрэгцээнд нийцүүлэн ашиглах” гэж заасан. Үнэлгээний зарчимд “тасралтгүй, баталгаатай эх сурвалжид үндэслэсэн” байхыг шаардсан. Иймээс багш хүүхдийн ахицын өгөгдлийг системтэй цуглуулж, шийдвэр гаргахад ашиглах шаардлагатай.</w:t>
      </w:r>
    </w:p>
    <w:p>
      <w:pPr>
        <w:pStyle w:val="Heading3"/>
      </w:pPr>
      <w:r>
        <w:t xml:space="preserve">1.2. Судалгааны асуудал</w:t>
      </w:r>
    </w:p>
    <w:p>
      <w:pPr/>
      <w:r>
        <w:t xml:space="preserve">Боловсролын судалгааны үндэсний хүрээлэнгийн 2022 оны судалгаагаар СӨБ-ын хөтөлбөрийн хэрэгжилт багшийн ур чадвар, хэрэглэгдэхүүний хүртээмжээс ихээхэн хамаарч байгааг тогтоосон (хөтөлбөрийн үндэслэлээс). Шинжлэн судлах үйл ажиллагаа нь багшаас асуулт боловсруулах, туршилт санаачлах, хүүхэд бүрийг ажиглаж тэмдэглэх их цаг шаарддаг. Нэг бүлэгт 20–25 хүүхэд байхад багш хүүхэд бүрийн ахицыг гар аргаар хянахад хүндрэлтэй.</w:t>
      </w:r>
    </w:p>
    <w:p>
      <w:pPr/>
      <w:r>
        <w:t xml:space="preserve">Хиймэл оюун эдгээр ажлыг хөнгөвчлөх боломжтой ч 2–5 настай хүүхдийн сургалтад хэрхэн, хэр зэрэг ашиглах нь тодорхой бус байна. Иймд судалгааны асуудал: </w:t>
      </w:r>
      <w:r>
        <w:rPr>
          <w:b/>
        </w:rPr>
        <w:t xml:space="preserve">шинжлэн судлах арга зүйг хүүхдийн хөгжлийн онцлогт нийцүүлэн, өгөгдөл ба хиймэл оюунаар дэмжин хэрхэн үр дүнтэй хэрэгжүүлэх вэ?</w:t>
      </w:r>
    </w:p>
    <w:p>
      <w:pPr>
        <w:pStyle w:val="Heading3"/>
      </w:pPr>
      <w:r>
        <w:t xml:space="preserve">1.3. Судалгааны зорилго</w:t>
      </w:r>
    </w:p>
    <w:p>
      <w:pPr/>
      <w:r>
        <w:t xml:space="preserve">Шинжлэн судлахад суурилсан арга зүйг өгөгдөл, хиймэл оюунаар дэмжин хэрэгжүүлэх загвар боловсруулж, түүнийг цэцэрлэгийн бодит орчинд туршиж, хүүхдийн чадамжид үзүүлэх нөлөөг үнэлэх.</w:t>
      </w:r>
    </w:p>
    <w:p>
      <w:pPr>
        <w:pStyle w:val="Heading3"/>
      </w:pPr>
      <w:r>
        <w:t xml:space="preserve">1.4. Судалгааны зорилт</w:t>
      </w:r>
    </w:p>
    <w:p>
      <w:pPr>
        <w:pStyle w:val="ListParagraph"/>
        <w:numPr>
          <w:ilvl w:val="0"/>
          <w:numId w:val="2"/>
        </w:numPr>
      </w:pPr>
      <w:r>
        <w:t xml:space="preserve">Шинэчилсэн хөтөлбөрийн шинжлэн судлах арга зүйн агуулга, үе шатыг сургалтын чиглэл бүрээр шинжлэх.</w:t>
      </w:r>
    </w:p>
    <w:p>
      <w:pPr>
        <w:pStyle w:val="ListParagraph"/>
        <w:numPr>
          <w:ilvl w:val="0"/>
          <w:numId w:val="2"/>
        </w:numPr>
      </w:pPr>
      <w:r>
        <w:t xml:space="preserve">Багш нарын шинжлэн судлах арга зүй, өгөгдөл, хиймэл оюун ашиглаж буй өнөөгийн байдлыг тодорхойлох.</w:t>
      </w:r>
    </w:p>
    <w:p>
      <w:pPr>
        <w:pStyle w:val="ListParagraph"/>
        <w:numPr>
          <w:ilvl w:val="0"/>
          <w:numId w:val="2"/>
        </w:numPr>
      </w:pPr>
      <w:r>
        <w:t xml:space="preserve">Өгөгдөл, хиймэл оюуны дэмжлэгтэй шинжлэн судлах үйл ажиллагааны загвар боловсруулах.</w:t>
      </w:r>
    </w:p>
    <w:p>
      <w:pPr>
        <w:pStyle w:val="ListParagraph"/>
        <w:numPr>
          <w:ilvl w:val="0"/>
          <w:numId w:val="2"/>
        </w:numPr>
      </w:pPr>
      <w:r>
        <w:t xml:space="preserve">Загварыг хичээл судлах мөчлөгөөр туршиж, сайжруулах.</w:t>
      </w:r>
    </w:p>
    <w:p>
      <w:pPr>
        <w:pStyle w:val="ListParagraph"/>
        <w:numPr>
          <w:ilvl w:val="0"/>
          <w:numId w:val="2"/>
        </w:numPr>
      </w:pPr>
      <w:r>
        <w:t xml:space="preserve">Хүүхдийн шүүн тунгаах, бүтээлчээр сэтгэх, харилцах чадамжид гарсан өөрчлөлтийг үнэлж, зөвлөмж гаргах.</w:t>
      </w:r>
    </w:p>
    <w:p>
      <w:pPr>
        <w:pStyle w:val="Heading3"/>
      </w:pPr>
      <w:r>
        <w:t xml:space="preserve">1.5. Судалгааны асуулт ба таамаглал</w:t>
      </w:r>
    </w:p>
    <w:p>
      <w:pPr>
        <w:pStyle w:val="ListParagraph"/>
        <w:numPr>
          <w:ilvl w:val="0"/>
          <w:numId w:val="3"/>
        </w:numPr>
      </w:pPr>
      <w:r>
        <w:rPr>
          <w:b/>
        </w:rPr>
        <w:t xml:space="preserve">СА1.</w:t>
      </w:r>
      <w:r>
        <w:t xml:space="preserve"> Багш нар шинжлэн судлах арга зүйн аль алхамыг хэрхэн хэрэгжүүлж, альд нь бэрхшээлтэй байна вэ?</w:t>
      </w:r>
    </w:p>
    <w:p>
      <w:pPr>
        <w:pStyle w:val="ListParagraph"/>
        <w:numPr>
          <w:ilvl w:val="0"/>
          <w:numId w:val="3"/>
        </w:numPr>
      </w:pPr>
      <w:r>
        <w:rPr>
          <w:b/>
        </w:rPr>
        <w:t xml:space="preserve">СА2.</w:t>
      </w:r>
      <w:r>
        <w:t xml:space="preserve"> Хиймэл оюун багшийн төлөвлөлт, ажиглалт, үнэлгээний ажлыг хэрхэн дэмжиж байна вэ?</w:t>
      </w:r>
    </w:p>
    <w:p>
      <w:pPr>
        <w:pStyle w:val="ListParagraph"/>
        <w:numPr>
          <w:ilvl w:val="0"/>
          <w:numId w:val="3"/>
        </w:numPr>
      </w:pPr>
      <w:r>
        <w:rPr>
          <w:b/>
        </w:rPr>
        <w:t xml:space="preserve">СА3.</w:t>
      </w:r>
      <w:r>
        <w:t xml:space="preserve"> Ажиглалт, хувийн хавтасны өгөгдлийг ашигласнаар багшийн шийдвэр (хүүхдийг дэмжих, үйл ажиллагааг тохируулах) хэрхэн өөрчлөгдөж байна вэ?</w:t>
      </w:r>
    </w:p>
    <w:p>
      <w:pPr>
        <w:pStyle w:val="ListParagraph"/>
        <w:numPr>
          <w:ilvl w:val="0"/>
          <w:numId w:val="3"/>
        </w:numPr>
      </w:pPr>
      <w:r>
        <w:rPr>
          <w:b/>
        </w:rPr>
        <w:t xml:space="preserve">СА4.</w:t>
      </w:r>
      <w:r>
        <w:t xml:space="preserve"> Загварын дагуу хэрэгжүүлсэн шинжлэн судлах үйл ажиллагаа хүүхдийн чадамжид ямар өөрчлөлт авчирсан бэ?</w:t>
      </w:r>
    </w:p>
    <w:p>
      <w:pPr/>
      <w:r>
        <w:rPr>
          <w:b/>
        </w:rPr>
        <w:t xml:space="preserve">Таамаглал:</w:t>
      </w:r>
      <w:r>
        <w:t xml:space="preserve"> Загварын дагуу суралцсан бүлгийн хүүхдийн асуулт асуух, таамаглал дэвшүүлэх, дүгнэлтээ илэрхийлэх чадвар харьцуулах бүлгийнхоос статистикийн хувьд ач холбогдолтой өндөр ахиц үзүүлнэ.</w:t>
      </w:r>
    </w:p>
    <w:p>
      <w:pPr>
        <w:pStyle w:val="Heading3"/>
      </w:pPr>
      <w:r>
        <w:t xml:space="preserve">1.6. Ач холбогдол</w:t>
      </w:r>
    </w:p>
    <w:p>
      <w:pPr>
        <w:pStyle w:val="ListParagraph"/>
        <w:numPr>
          <w:ilvl w:val="0"/>
          <w:numId w:val="4"/>
        </w:numPr>
      </w:pPr>
      <w:r>
        <w:rPr>
          <w:b/>
        </w:rPr>
        <w:t xml:space="preserve">Онолын:</w:t>
      </w:r>
      <w:r>
        <w:t xml:space="preserve"> шинэчилсэн хөтөлбөрийн арга зүйг цахим технологийн нөхцөлд хэрхэн хэрэгжүүлэхийг тодорхойлно.</w:t>
      </w:r>
    </w:p>
    <w:p>
      <w:pPr>
        <w:pStyle w:val="ListParagraph"/>
        <w:numPr>
          <w:ilvl w:val="0"/>
          <w:numId w:val="4"/>
        </w:numPr>
      </w:pPr>
      <w:r>
        <w:rPr>
          <w:b/>
        </w:rPr>
        <w:t xml:space="preserve">Практикийн:</w:t>
      </w:r>
      <w:r>
        <w:t xml:space="preserve"> багш шууд хэрэглэх загвар хичээл, ажиглалтын хуудас, хиймэл оюунд хандах заавар боловсруулна.</w:t>
      </w:r>
    </w:p>
    <w:p>
      <w:pPr>
        <w:pStyle w:val="ListParagraph"/>
        <w:numPr>
          <w:ilvl w:val="0"/>
          <w:numId w:val="4"/>
        </w:numPr>
      </w:pPr>
      <w:r>
        <w:rPr>
          <w:b/>
        </w:rPr>
        <w:t xml:space="preserve">Бодлогын:</w:t>
      </w:r>
      <w:r>
        <w:t xml:space="preserve"> цэцэрлэгт хиймэл оюун ашиглах дотоод журам, багшийн хөгжлийн сургалтад санал гаргана.</w:t>
      </w:r>
    </w:p>
    <w:p>
      <w:pPr>
        <w:pStyle w:val="Heading2"/>
      </w:pPr>
      <w:r>
        <w:t xml:space="preserve">2. Онолын үндэс</w:t>
      </w:r>
    </w:p>
    <w:p>
      <w:pPr>
        <w:pStyle w:val="Heading3"/>
      </w:pPr>
      <w:r>
        <w:t xml:space="preserve">2.1. Шинэчилсэн хөтөлбөр дэх шинжлэн судлахад суурилсан арга зүй</w:t>
      </w:r>
    </w:p>
    <w:p>
      <w:pPr/>
      <w:r>
        <w:t xml:space="preserve">Хөтөлбөрт зааснаар энэ арга зүй нь хүүхдийн сонирхлыг өдөөж, амьдралтай уялдсан мэдлэг бүтээх боломж олгоно. Хүүхэд өөрсдөө асуулт тавьж, туршилт хийж, бодит амьдрал дээр хэрэгжүүлж үзэх замаар мэдлэгээ бүтээнэ. Хөтөлбөрт дараах таван алхмыг тодорхойлсон:</w:t>
      </w:r>
    </w:p>
    <w:p>
      <w:pPr>
        <w:pStyle w:val="ListParagraph"/>
        <w:numPr>
          <w:ilvl w:val="0"/>
          <w:numId w:val="5"/>
        </w:numPr>
      </w:pPr>
      <w:r>
        <w:t xml:space="preserve">Асуулт асуух, хариулт хайх (мэдээлэл цуглуулах), нэгтгэх үйл ажиллагаанд оролцох</w:t>
      </w:r>
    </w:p>
    <w:p>
      <w:pPr>
        <w:pStyle w:val="ListParagraph"/>
        <w:numPr>
          <w:ilvl w:val="0"/>
          <w:numId w:val="5"/>
        </w:numPr>
      </w:pPr>
      <w:r>
        <w:t xml:space="preserve">Ажиглах, судлах, турших</w:t>
      </w:r>
    </w:p>
    <w:p>
      <w:pPr>
        <w:pStyle w:val="ListParagraph"/>
        <w:numPr>
          <w:ilvl w:val="0"/>
          <w:numId w:val="5"/>
        </w:numPr>
      </w:pPr>
      <w:r>
        <w:t xml:space="preserve">Мэдээлэл боловсруулах</w:t>
      </w:r>
    </w:p>
    <w:p>
      <w:pPr>
        <w:pStyle w:val="ListParagraph"/>
        <w:numPr>
          <w:ilvl w:val="0"/>
          <w:numId w:val="5"/>
        </w:numPr>
      </w:pPr>
      <w:r>
        <w:t xml:space="preserve">Илэрхийлэх, хуваалцах</w:t>
      </w:r>
    </w:p>
    <w:p>
      <w:pPr>
        <w:pStyle w:val="ListParagraph"/>
        <w:numPr>
          <w:ilvl w:val="0"/>
          <w:numId w:val="5"/>
        </w:numPr>
      </w:pPr>
      <w:r>
        <w:t xml:space="preserve">Бататгах, хэрэглэх</w:t>
      </w:r>
    </w:p>
    <w:p>
      <w:pPr>
        <w:pStyle w:val="Heading3"/>
      </w:pPr>
      <w:r>
        <w:t xml:space="preserve">2.2. Сургалтын чиглэл бүрт шинжлэн судлах арга зүйн хүрэх үр дүн</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Сургалтын чиглэл</w:t>
            </w:r>
          </w:p>
        </w:tc>
        <w:tc>
          <w:tcPr>
            <w:tcW w:w="3120" w:type="dxa"/>
            <w:shd w:val="clear" w:color="auto" w:fill="F2F2F2"/>
          </w:tcPr>
          <w:p>
            <w:pPr/>
            <w:r>
              <w:t xml:space="preserve">Хөтөлбөрт туссан агуулга</w:t>
            </w:r>
          </w:p>
        </w:tc>
        <w:tc>
          <w:tcPr>
            <w:tcW w:w="3120" w:type="dxa"/>
            <w:shd w:val="clear" w:color="auto" w:fill="F2F2F2"/>
          </w:tcPr>
          <w:p>
            <w:pPr/>
            <w:r>
              <w:t xml:space="preserve">Хөгжүүлэх чадамж</w:t>
            </w:r>
          </w:p>
        </w:tc>
      </w:tr>
      <w:tr>
        <w:tc>
          <w:tcPr>
            <w:tcW w:w="3120" w:type="dxa"/>
          </w:tcPr>
          <w:p>
            <w:pPr/>
            <w:r>
              <w:t xml:space="preserve">Математик</w:t>
            </w:r>
          </w:p>
        </w:tc>
        <w:tc>
          <w:tcPr>
            <w:tcW w:w="3120" w:type="dxa"/>
          </w:tcPr>
          <w:p>
            <w:pPr/>
            <w:r>
              <w:t xml:space="preserve">Асуулт тавьж шийдэл олох, 5 алхамт үйл ажиллагаа</w:t>
            </w:r>
          </w:p>
        </w:tc>
        <w:tc>
          <w:tcPr>
            <w:tcW w:w="3120" w:type="dxa"/>
          </w:tcPr>
          <w:p>
            <w:pPr/>
            <w:r>
              <w:t xml:space="preserve">Шүүн тунгаах, асуудал шийдэх</w:t>
            </w:r>
          </w:p>
        </w:tc>
      </w:tr>
      <w:tr>
        <w:tc>
          <w:tcPr>
            <w:tcW w:w="3120" w:type="dxa"/>
          </w:tcPr>
          <w:p>
            <w:pPr/>
            <w:r>
              <w:t xml:space="preserve">Байгаль, нийгмийн орчин</w:t>
            </w:r>
          </w:p>
        </w:tc>
        <w:tc>
          <w:tcPr>
            <w:tcW w:w="3120" w:type="dxa"/>
          </w:tcPr>
          <w:p>
            <w:pPr/>
            <w:r>
              <w:t xml:space="preserve">Таамаглал дэвшүүлэх, эрэл хайгуул хийх, бүтээл хийх</w:t>
            </w:r>
          </w:p>
        </w:tc>
        <w:tc>
          <w:tcPr>
            <w:tcW w:w="3120" w:type="dxa"/>
          </w:tcPr>
          <w:p>
            <w:pPr/>
            <w:r>
              <w:t xml:space="preserve">Шинжлэх ухаанч байх, хамтран суралцах</w:t>
            </w:r>
          </w:p>
        </w:tc>
      </w:tr>
      <w:tr>
        <w:tc>
          <w:tcPr>
            <w:tcW w:w="3120" w:type="dxa"/>
          </w:tcPr>
          <w:p>
            <w:pPr/>
            <w:r>
              <w:t xml:space="preserve">Хэл яриа</w:t>
            </w:r>
          </w:p>
        </w:tc>
        <w:tc>
          <w:tcPr>
            <w:tcW w:w="3120" w:type="dxa"/>
          </w:tcPr>
          <w:p>
            <w:pPr/>
            <w:r>
              <w:t xml:space="preserve">Эргэцүүлэн бодох, асуулт асуух, дүгнэлтээ илэрхийлэх</w:t>
            </w:r>
          </w:p>
        </w:tc>
        <w:tc>
          <w:tcPr>
            <w:tcW w:w="3120" w:type="dxa"/>
          </w:tcPr>
          <w:p>
            <w:pPr/>
            <w:r>
              <w:t xml:space="preserve">Үгийн баялаг, өгүүлбэрийн бүтэц, харилцах</w:t>
            </w:r>
          </w:p>
        </w:tc>
      </w:tr>
      <w:tr>
        <w:tc>
          <w:tcPr>
            <w:tcW w:w="3120" w:type="dxa"/>
          </w:tcPr>
          <w:p>
            <w:pPr/>
            <w:r>
              <w:t xml:space="preserve">Нийгэм-сэтгэл хөдлөл</w:t>
            </w:r>
          </w:p>
        </w:tc>
        <w:tc>
          <w:tcPr>
            <w:tcW w:w="3120" w:type="dxa"/>
          </w:tcPr>
          <w:p>
            <w:pPr/>
            <w:r>
              <w:t xml:space="preserve">Асуултаа тавьж, бодит амьдрал дээр турших</w:t>
            </w:r>
          </w:p>
        </w:tc>
        <w:tc>
          <w:tcPr>
            <w:tcW w:w="3120" w:type="dxa"/>
          </w:tcPr>
          <w:p>
            <w:pPr/>
            <w:r>
              <w:t xml:space="preserve">Сэтгэл хөдлөлөө илэрхийлэх, хамтрах</w:t>
            </w:r>
          </w:p>
        </w:tc>
      </w:tr>
      <w:tr>
        <w:tc>
          <w:tcPr>
            <w:tcW w:w="3120" w:type="dxa"/>
          </w:tcPr>
          <w:p>
            <w:pPr/>
            <w:r>
              <w:t xml:space="preserve">Хөдөлгөөн, эрүүл мэнд</w:t>
            </w:r>
          </w:p>
        </w:tc>
        <w:tc>
          <w:tcPr>
            <w:tcW w:w="3120" w:type="dxa"/>
          </w:tcPr>
          <w:p>
            <w:pPr/>
            <w:r>
              <w:t xml:space="preserve">Туслах арга зүй (тоглоом голлоно)</w:t>
            </w:r>
          </w:p>
        </w:tc>
        <w:tc>
          <w:tcPr>
            <w:tcW w:w="3120" w:type="dxa"/>
          </w:tcPr>
          <w:p>
            <w:pPr/>
            <w:r>
              <w:t xml:space="preserve">Эрүүл мэндийн зөв дадал судлах</w:t>
            </w:r>
          </w:p>
        </w:tc>
      </w:tr>
    </w:tbl>
    <w:p>
      <w:pPr>
        <w:pStyle w:val="Heading3"/>
      </w:pPr>
      <w:r>
        <w:t xml:space="preserve">2.3. Өгөгдөлд тулгуурласан багшлахуй</w:t>
      </w:r>
    </w:p>
    <w:p>
      <w:pPr/>
      <w:r>
        <w:t xml:space="preserve">Хөтөлбөрийн агуулгыг хүүхдийн ахицыг шаталсан </w:t>
      </w:r>
      <w:r>
        <w:rPr>
          <w:b/>
        </w:rPr>
        <w:t xml:space="preserve">1–4 түвшингээр</w:t>
      </w:r>
      <w:r>
        <w:t xml:space="preserve"> илэрхийлж боловсруулсан. Энэ нь хүүхдийн хөгжлийг ажиглах, үнэлэх, сургалтыг төлөвлөх суурь болно. Өгөгдөлд тулгуурласан багшлахуй гэдэг багш хүүхдийн тухай баталгаатай мэдээллийг системтэй цуглуулж, дүн шинжилгээ хийж, дараагийн үйл ажиллагааг тохируулах буйдал юм.</w:t>
      </w:r>
    </w:p>
    <w:p>
      <w:pPr/>
      <w:r>
        <w:t xml:space="preserve">СӨБ-д өгөгдөл нь тоон дүн бус байна. Хөтөлбөрт заасан үнэлгээний хэрэгсэл нь: өдөр тутмын ажиглалт, асуулт хариулт, ярилцлагын тэмдэглэл, төсөлт ажлын тайлан, тоглолт үзүүлбэр, хувийн хавтас. Гарааны, явцын, үр дүнгийн гэсэн гурван төрлийн үнэлгээг мэдлэг ойлголт, чадвар гүйцэтгэл, төлөвшил гэсэн хүрээгээр хийнэ.</w:t>
      </w:r>
    </w:p>
    <w:p>
      <w:pPr>
        <w:pStyle w:val="Heading3"/>
      </w:pPr>
      <w:r>
        <w:t xml:space="preserve">2.4. Хиймэл оюуны үүрэг: багшийн туслах, хүүхдийн орлогч биш</w:t>
      </w:r>
    </w:p>
    <w:p>
      <w:pPr/>
      <w:r>
        <w:t xml:space="preserve">2–5 настай хүүхдийн суралцахуйд бодит юмстай харьцах, хөдөлгөөн, хүнтэй харилцах нь тэргүүлэх ач холбогдолтой. Хөтөлбөр ч “харах, барих бодит зүйлсийг түлхүү ашиглах”г шаардсан. Иймээс энэ судалгаанд хиймэл оюуныг голчлон багш ашиглана. Хүүхэд зөвхөн багшийн хяналттайгаар, богино хугацаанд, хамтдаа харилцана (жишээ нь хүүхдийн асуултыг багш чанга уншиж, хариултыг хамт шүүх).</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Шинжлэн судлах алхам</w:t>
            </w:r>
          </w:p>
        </w:tc>
        <w:tc>
          <w:tcPr>
            <w:tcW w:w="3120" w:type="dxa"/>
            <w:shd w:val="clear" w:color="auto" w:fill="F2F2F2"/>
          </w:tcPr>
          <w:p>
            <w:pPr/>
            <w:r>
              <w:t xml:space="preserve">Багшийн цуглуулах өгөгдөл</w:t>
            </w:r>
          </w:p>
        </w:tc>
        <w:tc>
          <w:tcPr>
            <w:tcW w:w="3120" w:type="dxa"/>
            <w:shd w:val="clear" w:color="auto" w:fill="F2F2F2"/>
          </w:tcPr>
          <w:p>
            <w:pPr/>
            <w:r>
              <w:t xml:space="preserve">Хиймэл оюуны дэмжлэг</w:t>
            </w:r>
          </w:p>
        </w:tc>
      </w:tr>
      <w:tr>
        <w:tc>
          <w:tcPr>
            <w:tcW w:w="3120" w:type="dxa"/>
          </w:tcPr>
          <w:p>
            <w:pPr/>
            <w:r>
              <w:t xml:space="preserve">1. Асуулт асуух, хариулт хайх</w:t>
            </w:r>
          </w:p>
        </w:tc>
        <w:tc>
          <w:tcPr>
            <w:tcW w:w="3120" w:type="dxa"/>
          </w:tcPr>
          <w:p>
            <w:pPr/>
            <w:r>
              <w:t xml:space="preserve">Хүүхдийн асуусан асуулт, өмнөх ойлголт (гарааны үнэлгээ)</w:t>
            </w:r>
          </w:p>
        </w:tc>
        <w:tc>
          <w:tcPr>
            <w:tcW w:w="3120" w:type="dxa"/>
          </w:tcPr>
          <w:p>
            <w:pPr/>
            <w:r>
              <w:t xml:space="preserve">Насанд тохирсон “Яагаад?” асуултын сан, өдөөх үлгэр, зураг бэлтгэх</w:t>
            </w:r>
          </w:p>
        </w:tc>
      </w:tr>
      <w:tr>
        <w:tc>
          <w:tcPr>
            <w:tcW w:w="3120" w:type="dxa"/>
          </w:tcPr>
          <w:p>
            <w:pPr/>
            <w:r>
              <w:t xml:space="preserve">2. Ажиглах, судлах, турших</w:t>
            </w:r>
          </w:p>
        </w:tc>
        <w:tc>
          <w:tcPr>
            <w:tcW w:w="3120" w:type="dxa"/>
          </w:tcPr>
          <w:p>
            <w:pPr/>
            <w:r>
              <w:t xml:space="preserve">Ажиглалтын тэмдэглэл, зураг, аудио бичлэг</w:t>
            </w:r>
          </w:p>
        </w:tc>
        <w:tc>
          <w:tcPr>
            <w:tcW w:w="3120" w:type="dxa"/>
          </w:tcPr>
          <w:p>
            <w:pPr/>
            <w:r>
              <w:t xml:space="preserve">Аюулгүй туршилтын санаа, ажиглалтын хуудас боловсруулах</w:t>
            </w:r>
          </w:p>
        </w:tc>
      </w:tr>
      <w:tr>
        <w:tc>
          <w:tcPr>
            <w:tcW w:w="3120" w:type="dxa"/>
          </w:tcPr>
          <w:p>
            <w:pPr/>
            <w:r>
              <w:t xml:space="preserve">3. Мэдээлэл боловсруулах</w:t>
            </w:r>
          </w:p>
        </w:tc>
        <w:tc>
          <w:tcPr>
            <w:tcW w:w="3120" w:type="dxa"/>
          </w:tcPr>
          <w:p>
            <w:pPr/>
            <w:r>
              <w:t xml:space="preserve">Хүүхдийн тэмдэглэл, ангилсан зураг, хүснэгт</w:t>
            </w:r>
          </w:p>
        </w:tc>
        <w:tc>
          <w:tcPr>
            <w:tcW w:w="3120" w:type="dxa"/>
          </w:tcPr>
          <w:p>
            <w:pPr/>
            <w:r>
              <w:t xml:space="preserve">Ажиглалтын тэмдэглэлийг нэгтгэж, хүүхэд бүрийн түвшинг (1–4) санал болгох; эцсийн шийдвэрийг багш гаргана</w:t>
            </w:r>
          </w:p>
        </w:tc>
      </w:tr>
      <w:tr>
        <w:tc>
          <w:tcPr>
            <w:tcW w:w="3120" w:type="dxa"/>
          </w:tcPr>
          <w:p>
            <w:pPr/>
            <w:r>
              <w:t xml:space="preserve">4. Илэрхийлэх, хуваалцах</w:t>
            </w:r>
          </w:p>
        </w:tc>
        <w:tc>
          <w:tcPr>
            <w:tcW w:w="3120" w:type="dxa"/>
          </w:tcPr>
          <w:p>
            <w:pPr/>
            <w:r>
              <w:t xml:space="preserve">Хүүхдийн тайлбар, бүтээл, тоглолтын бичлэг</w:t>
            </w:r>
          </w:p>
        </w:tc>
        <w:tc>
          <w:tcPr>
            <w:tcW w:w="3120" w:type="dxa"/>
          </w:tcPr>
          <w:p>
            <w:pPr/>
            <w:r>
              <w:t xml:space="preserve">Хүүхдийн ярианы бичлэгийг бичвэрт буулгах, үгийн баялгийг шинжлэх</w:t>
            </w:r>
          </w:p>
        </w:tc>
      </w:tr>
      <w:tr>
        <w:tc>
          <w:tcPr>
            <w:tcW w:w="3120" w:type="dxa"/>
          </w:tcPr>
          <w:p>
            <w:pPr/>
            <w:r>
              <w:t xml:space="preserve">5. Бататгах, хэрэглэх</w:t>
            </w:r>
          </w:p>
        </w:tc>
        <w:tc>
          <w:tcPr>
            <w:tcW w:w="3120" w:type="dxa"/>
          </w:tcPr>
          <w:p>
            <w:pPr/>
            <w:r>
              <w:t xml:space="preserve">Хувийн хавтас, ураар авах ажиглалт</w:t>
            </w:r>
          </w:p>
        </w:tc>
        <w:tc>
          <w:tcPr>
            <w:tcW w:w="3120" w:type="dxa"/>
          </w:tcPr>
          <w:p>
            <w:pPr/>
            <w:r>
              <w:t xml:space="preserve">Түвшинд тохирсон даалгавар, эцэг эхэд хүргэх зөвлөмж бичих</w:t>
            </w:r>
          </w:p>
        </w:tc>
      </w:tr>
    </w:tbl>
    <w:p>
      <w:pPr/>
      <w:r>
        <w:t xml:space="preserve">Хиймэл оюуны ашиглалт нь хөтөлбөрийн “технологийг нас, сэтгэхүйн онцлогт нийцүүлэх” зарчим болон TPACK (технологи, арга зүй, агуулгын мэдлэгийн нэгдэл) хүрээнд үндэслэнэ.</w:t>
      </w:r>
    </w:p>
    <w:p>
      <w:pPr>
        <w:pStyle w:val="Heading2"/>
      </w:pPr>
      <w:r>
        <w:t xml:space="preserve">3. Судалгааны арга зүй</w:t>
      </w:r>
    </w:p>
    <w:p>
      <w:pPr>
        <w:pStyle w:val="Heading3"/>
      </w:pPr>
      <w:r>
        <w:t xml:space="preserve">3.1. Судалгааны загвар</w:t>
      </w:r>
    </w:p>
    <w:p>
      <w:pPr/>
      <w:r>
        <w:t xml:space="preserve">Судалгааг </w:t>
      </w:r>
      <w:r>
        <w:rPr>
          <w:b/>
        </w:rPr>
        <w:t xml:space="preserve">холимог аргаар</w:t>
      </w:r>
      <w:r>
        <w:t xml:space="preserve"> (тоон ба чанарын), </w:t>
      </w:r>
      <w:r>
        <w:rPr>
          <w:b/>
        </w:rPr>
        <w:t xml:space="preserve">үйл ажиллагааны судалгааны</w:t>
      </w:r>
      <w:r>
        <w:t xml:space="preserve"> загвараар явуулна. Загварыг </w:t>
      </w:r>
      <w:r>
        <w:rPr>
          <w:b/>
        </w:rPr>
        <w:t xml:space="preserve">хичээл судлах (Lesson Study)</w:t>
      </w:r>
      <w:r>
        <w:t xml:space="preserve"> мөчлөгөөр 3 удаа давтан туршиж сайжруулна. Хүүхдийн чадамжид гарсан өөрчлөлтийг </w:t>
      </w:r>
      <w:r>
        <w:rPr>
          <w:b/>
        </w:rPr>
        <w:t xml:space="preserve">хагас туршилтын</w:t>
      </w:r>
      <w:r>
        <w:t xml:space="preserve"> загвараар (туршилтын ба харьцуулах бүлэг, өмнөх ба дараах үнэлгээ) хэмжинэ.</w:t>
      </w:r>
    </w:p>
    <w:p>
      <w:pPr>
        <w:pStyle w:val="Heading3"/>
      </w:pPr>
      <w:r>
        <w:t xml:space="preserve">3.2. Судалгаанд оролцогчид</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Оролцогч</w:t>
            </w:r>
          </w:p>
        </w:tc>
        <w:tc>
          <w:tcPr>
            <w:tcW w:w="2340" w:type="dxa"/>
            <w:shd w:val="clear" w:color="auto" w:fill="F2F2F2"/>
          </w:tcPr>
          <w:p>
            <w:pPr/>
            <w:r>
              <w:t xml:space="preserve">Тоо</w:t>
            </w:r>
          </w:p>
        </w:tc>
        <w:tc>
          <w:tcPr>
            <w:tcW w:w="2340" w:type="dxa"/>
            <w:shd w:val="clear" w:color="auto" w:fill="F2F2F2"/>
          </w:tcPr>
          <w:p>
            <w:pPr/>
            <w:r>
              <w:t xml:space="preserve">Сонгох арга</w:t>
            </w:r>
          </w:p>
        </w:tc>
        <w:tc>
          <w:tcPr>
            <w:tcW w:w="2340" w:type="dxa"/>
            <w:shd w:val="clear" w:color="auto" w:fill="F2F2F2"/>
          </w:tcPr>
          <w:p>
            <w:pPr/>
            <w:r>
              <w:t xml:space="preserve">Үүрэг</w:t>
            </w:r>
          </w:p>
        </w:tc>
      </w:tr>
      <w:tr>
        <w:tc>
          <w:tcPr>
            <w:tcW w:w="2340" w:type="dxa"/>
          </w:tcPr>
          <w:p>
            <w:pPr/>
            <w:r>
              <w:t xml:space="preserve">Хичээл судлах багийн багш</w:t>
            </w:r>
          </w:p>
        </w:tc>
        <w:tc>
          <w:tcPr>
            <w:tcW w:w="2340" w:type="dxa"/>
          </w:tcPr>
          <w:p>
            <w:pPr/>
            <w:r>
              <w:t xml:space="preserve">4–6</w:t>
            </w:r>
          </w:p>
        </w:tc>
        <w:tc>
          <w:tcPr>
            <w:tcW w:w="2340" w:type="dxa"/>
          </w:tcPr>
          <w:p>
            <w:pPr/>
            <w:r>
              <w:t xml:space="preserve">Зорилгот түүвэр</w:t>
            </w:r>
          </w:p>
        </w:tc>
        <w:tc>
          <w:tcPr>
            <w:tcW w:w="2340" w:type="dxa"/>
          </w:tcPr>
          <w:p>
            <w:pPr/>
            <w:r>
              <w:t xml:space="preserve">Төлөвлөх, заах, ажиглах, хэлэлцэх</w:t>
            </w:r>
          </w:p>
        </w:tc>
      </w:tr>
      <w:tr>
        <w:tc>
          <w:tcPr>
            <w:tcW w:w="2340" w:type="dxa"/>
          </w:tcPr>
          <w:p>
            <w:pPr/>
            <w:r>
              <w:t xml:space="preserve">Арга зүйч</w:t>
            </w:r>
          </w:p>
        </w:tc>
        <w:tc>
          <w:tcPr>
            <w:tcW w:w="2340" w:type="dxa"/>
          </w:tcPr>
          <w:p>
            <w:pPr/>
            <w:r>
              <w:t xml:space="preserve">1</w:t>
            </w:r>
          </w:p>
        </w:tc>
        <w:tc>
          <w:tcPr>
            <w:tcW w:w="2340" w:type="dxa"/>
          </w:tcPr>
          <w:p>
            <w:pPr/>
            <w:r>
              <w:t xml:space="preserve">Зорилгот</w:t>
            </w:r>
          </w:p>
        </w:tc>
        <w:tc>
          <w:tcPr>
            <w:tcW w:w="2340" w:type="dxa"/>
          </w:tcPr>
          <w:p>
            <w:pPr/>
            <w:r>
              <w:t xml:space="preserve">Мөчлөг зохион байгуулах, зөвлөх</w:t>
            </w:r>
          </w:p>
        </w:tc>
      </w:tr>
      <w:tr>
        <w:tc>
          <w:tcPr>
            <w:tcW w:w="2340" w:type="dxa"/>
          </w:tcPr>
          <w:p>
            <w:pPr/>
            <w:r>
              <w:t xml:space="preserve">Туршилтын бүлгийн хүүхэд (4–5 нас)</w:t>
            </w:r>
          </w:p>
        </w:tc>
        <w:tc>
          <w:tcPr>
            <w:tcW w:w="2340" w:type="dxa"/>
          </w:tcPr>
          <w:p>
            <w:pPr/>
            <w:r>
              <w:t xml:space="preserve">20–25</w:t>
            </w:r>
          </w:p>
        </w:tc>
        <w:tc>
          <w:tcPr>
            <w:tcW w:w="2340" w:type="dxa"/>
          </w:tcPr>
          <w:p>
            <w:pPr/>
            <w:r>
              <w:t xml:space="preserve">Бүлгээр</w:t>
            </w:r>
          </w:p>
        </w:tc>
        <w:tc>
          <w:tcPr>
            <w:tcW w:w="2340" w:type="dxa"/>
          </w:tcPr>
          <w:p>
            <w:pPr/>
            <w:r>
              <w:t xml:space="preserve">Загварын дагуу суралцах</w:t>
            </w:r>
          </w:p>
        </w:tc>
      </w:tr>
      <w:tr>
        <w:tc>
          <w:tcPr>
            <w:tcW w:w="2340" w:type="dxa"/>
          </w:tcPr>
          <w:p>
            <w:pPr/>
            <w:r>
              <w:t xml:space="preserve">Харьцуулах бүлгийн хүүхэд (4–5 нас)</w:t>
            </w:r>
          </w:p>
        </w:tc>
        <w:tc>
          <w:tcPr>
            <w:tcW w:w="2340" w:type="dxa"/>
          </w:tcPr>
          <w:p>
            <w:pPr/>
            <w:r>
              <w:t xml:space="preserve">20–25</w:t>
            </w:r>
          </w:p>
        </w:tc>
        <w:tc>
          <w:tcPr>
            <w:tcW w:w="2340" w:type="dxa"/>
          </w:tcPr>
          <w:p>
            <w:pPr/>
            <w:r>
              <w:t xml:space="preserve">Бүлгээр</w:t>
            </w:r>
          </w:p>
        </w:tc>
        <w:tc>
          <w:tcPr>
            <w:tcW w:w="2340" w:type="dxa"/>
          </w:tcPr>
          <w:p>
            <w:pPr/>
            <w:r>
              <w:t xml:space="preserve">Ердийн сургалтаар суралцах</w:t>
            </w:r>
          </w:p>
        </w:tc>
      </w:tr>
      <w:tr>
        <w:tc>
          <w:tcPr>
            <w:tcW w:w="2340" w:type="dxa"/>
          </w:tcPr>
          <w:p>
            <w:pPr/>
            <w:r>
              <w:t xml:space="preserve">Эцэг эх, асран хамгаалагч</w:t>
            </w:r>
          </w:p>
        </w:tc>
        <w:tc>
          <w:tcPr>
            <w:tcW w:w="2340" w:type="dxa"/>
          </w:tcPr>
          <w:p>
            <w:pPr/>
            <w:r>
              <w:t xml:space="preserve">15–20</w:t>
            </w:r>
          </w:p>
        </w:tc>
        <w:tc>
          <w:tcPr>
            <w:tcW w:w="2340" w:type="dxa"/>
          </w:tcPr>
          <w:p>
            <w:pPr/>
            <w:r>
              <w:t xml:space="preserve">Сайн дурын</w:t>
            </w:r>
          </w:p>
        </w:tc>
        <w:tc>
          <w:tcPr>
            <w:tcW w:w="2340" w:type="dxa"/>
          </w:tcPr>
          <w:p>
            <w:pPr/>
            <w:r>
              <w:t xml:space="preserve">Асуулга, гэрийн даалгаварт оролцох</w:t>
            </w:r>
          </w:p>
        </w:tc>
      </w:tr>
      <w:tr>
        <w:tc>
          <w:tcPr>
            <w:tcW w:w="2340" w:type="dxa"/>
          </w:tcPr>
          <w:p>
            <w:pPr/>
            <w:r>
              <w:t xml:space="preserve">Асуулгад оролцох СӨБ-ын багш</w:t>
            </w:r>
          </w:p>
        </w:tc>
        <w:tc>
          <w:tcPr>
            <w:tcW w:w="2340" w:type="dxa"/>
          </w:tcPr>
          <w:p>
            <w:pPr/>
            <w:r>
              <w:t xml:space="preserve">50 ба түүнээс дээш</w:t>
            </w:r>
          </w:p>
        </w:tc>
        <w:tc>
          <w:tcPr>
            <w:tcW w:w="2340" w:type="dxa"/>
          </w:tcPr>
          <w:p>
            <w:pPr/>
            <w:r>
              <w:t xml:space="preserve">Хялбар түүвэр</w:t>
            </w:r>
          </w:p>
        </w:tc>
        <w:tc>
          <w:tcPr>
            <w:tcW w:w="2340" w:type="dxa"/>
          </w:tcPr>
          <w:p>
            <w:pPr/>
            <w:r>
              <w:t xml:space="preserve">Өнөөгийн байдлын судалгаа</w:t>
            </w:r>
          </w:p>
        </w:tc>
      </w:tr>
    </w:tbl>
    <w:p>
      <w:pPr>
        <w:pStyle w:val="Heading3"/>
      </w:pPr>
      <w:r>
        <w:t xml:space="preserve">3.3. Судалгааны үе шат</w:t>
      </w:r>
    </w:p>
    <w:p>
      <w:pPr>
        <w:pStyle w:val="ListParagraph"/>
        <w:numPr>
          <w:ilvl w:val="0"/>
          <w:numId w:val="6"/>
        </w:numPr>
      </w:pPr>
      <w:r>
        <w:rPr>
          <w:b/>
        </w:rPr>
        <w:t xml:space="preserve">Суурь судалгаа (1–2 дахь сар).</w:t>
      </w:r>
      <w:r>
        <w:t xml:space="preserve"> Багшийн асуулга авч, шинжлэн судлах арга зүй, цахим хэрэгсэл, хиймэл оюуны хэрэглээг тодорхойлно. Хүүхдэд гарааны үнэлгээ хийнэ.</w:t>
      </w:r>
    </w:p>
    <w:p>
      <w:pPr>
        <w:pStyle w:val="ListParagraph"/>
        <w:numPr>
          <w:ilvl w:val="0"/>
          <w:numId w:val="6"/>
        </w:numPr>
      </w:pPr>
      <w:r>
        <w:rPr>
          <w:b/>
        </w:rPr>
        <w:t xml:space="preserve">Загвар боловсруулах (3 дахь сар).</w:t>
      </w:r>
      <w:r>
        <w:t xml:space="preserve"> Багш нарын сургалт (хиймэл оюунд хандах, өгөгдөл цуглуулах, ажиглах) хийж, загвар хичээлийн эх хувилбар гаргана.</w:t>
      </w:r>
    </w:p>
    <w:p>
      <w:pPr>
        <w:pStyle w:val="ListParagraph"/>
        <w:numPr>
          <w:ilvl w:val="0"/>
          <w:numId w:val="6"/>
        </w:numPr>
      </w:pPr>
      <w:r>
        <w:rPr>
          <w:b/>
        </w:rPr>
        <w:t xml:space="preserve">Хичээл судлах мөчлөг (4–8 дахь сар, 3 мөчлөг).</w:t>
      </w:r>
      <w:r>
        <w:t xml:space="preserve"> Мөчлөг бүр дөрвөн алхамтай:</w:t>
      </w:r>
    </w:p>
    <w:p>
      <w:pPr>
        <w:pStyle w:val="ListParagraph"/>
        <w:numPr>
          <w:ilvl w:val="1"/>
          <w:numId w:val="7"/>
        </w:numPr>
      </w:pPr>
      <w:r>
        <w:rPr>
          <w:i/>
        </w:rPr>
        <w:t xml:space="preserve">Төлөвлөх:</w:t>
      </w:r>
      <w:r>
        <w:t xml:space="preserve"> хүүхдийн өгөгдөлд тулгуурлан суралцахуйн үр дүнгээ сонгож, хиймэл оюунаар санаа боловсруулж, багаараа шалгаж батална.</w:t>
      </w:r>
    </w:p>
    <w:p>
      <w:pPr>
        <w:pStyle w:val="ListParagraph"/>
        <w:numPr>
          <w:ilvl w:val="1"/>
          <w:numId w:val="7"/>
        </w:numPr>
      </w:pPr>
      <w:r>
        <w:rPr>
          <w:i/>
        </w:rPr>
        <w:t xml:space="preserve">Заах ба ажиглах:</w:t>
      </w:r>
      <w:r>
        <w:t xml:space="preserve"> нэг багш үйл ажиллагааг хөтөлж, бусад нь 3–5 хүүхдийг ажиглана. Ажиглалт багшид биш, хүүхдийн суралцахуйд төвлөрнө.</w:t>
      </w:r>
    </w:p>
    <w:p>
      <w:pPr>
        <w:pStyle w:val="ListParagraph"/>
        <w:numPr>
          <w:ilvl w:val="1"/>
          <w:numId w:val="7"/>
        </w:numPr>
      </w:pPr>
      <w:r>
        <w:rPr>
          <w:i/>
        </w:rPr>
        <w:t xml:space="preserve">Хэлэлцэх:</w:t>
      </w:r>
      <w:r>
        <w:t xml:space="preserve"> ажиглалтын өгөгдлийг (хиймэл оюунаар нэгтгэсэн) хэлэлцэж, хүүхэд хаана саатсаныг тодорхойлно.</w:t>
      </w:r>
    </w:p>
    <w:p>
      <w:pPr>
        <w:pStyle w:val="ListParagraph"/>
        <w:numPr>
          <w:ilvl w:val="1"/>
          <w:numId w:val="7"/>
        </w:numPr>
      </w:pPr>
      <w:r>
        <w:rPr>
          <w:i/>
        </w:rPr>
        <w:t xml:space="preserve">Шинэчлэн сайжруулах:</w:t>
      </w:r>
      <w:r>
        <w:t xml:space="preserve"> загварыг засаж, дараагийн мөчлөгт дахин туршина.</w:t>
      </w:r>
    </w:p>
    <w:p>
      <w:pPr>
        <w:pStyle w:val="ListParagraph"/>
        <w:numPr>
          <w:ilvl w:val="0"/>
          <w:numId w:val="6"/>
        </w:numPr>
      </w:pPr>
      <w:r>
        <w:rPr>
          <w:b/>
        </w:rPr>
        <w:t xml:space="preserve">Эцсийн үнэлгээ (9 дэх сар).</w:t>
      </w:r>
      <w:r>
        <w:t xml:space="preserve"> Үр дүнгийн үнэлгээ, багшийн фокус бүлэг, эцэг эхийн асуулга авна.</w:t>
      </w:r>
    </w:p>
    <w:p>
      <w:pPr>
        <w:pStyle w:val="ListParagraph"/>
        <w:numPr>
          <w:ilvl w:val="0"/>
          <w:numId w:val="6"/>
        </w:numPr>
      </w:pPr>
      <w:r>
        <w:rPr>
          <w:b/>
        </w:rPr>
        <w:t xml:space="preserve">Нэгтгэл (10 дахь сар).</w:t>
      </w:r>
      <w:r>
        <w:t xml:space="preserve"> Шинжилгээ хийж, тайлан болон арга зүйн зөвлөмж бичнэ.</w:t>
      </w:r>
    </w:p>
    <w:p>
      <w:pPr/>
      <w:r>
        <w:drawing>
          <wp:inline distT="0" distB="0" distL="0" distR="0">
            <wp:extent cx="5486400" cy="2130878"/>
            <wp:docPr id="1" name="image1" descr="Судалгааны үе шат ба хичээл судлах мөчлөг"/>
            <a:graphic xmlns:a="http://schemas.openxmlformats.org/drawingml/2006/main">
              <a:graphicData uri="http://schemas.openxmlformats.org/drawingml/2006/picture">
                <pic:pic xmlns:pic="http://schemas.openxmlformats.org/drawingml/2006/picture">
                  <pic:nvPicPr>
                    <pic:cNvPr id="1" name="image1" descr="Судалгааны үе шат ба хичээл судлах мөчлөг"/>
                    <pic:cNvPicPr/>
                  </pic:nvPicPr>
                  <pic:blipFill>
                    <a:blip r:embed="rId3"/>
                    <a:stretch>
                      <a:fillRect/>
                    </a:stretch>
                  </pic:blipFill>
                  <pic:spPr>
                    <a:xfrm>
                      <a:off x="0" y="0"/>
                      <a:ext cx="5486400" cy="2130878"/>
                    </a:xfrm>
                    <a:prstGeom prst="rect">
                      <a:avLst/>
                    </a:prstGeom>
                  </pic:spPr>
                </pic:pic>
              </a:graphicData>
            </a:graphic>
          </wp:inline>
        </w:drawing>
      </w:r>
    </w:p>
    <w:p>
      <w:pPr/>
      <w:r>
        <w:t xml:space="preserve">Судалгааны үе шат ба хичээл судлах мөчлөг</w:t>
      </w:r>
    </w:p>
    <w:p>
      <w:pPr/>
      <w:r>
        <w:t xml:space="preserve">Суурь судалгааны өгөгдөл эхний мөчлөгийг чиглүүлнэ. Мөчлөг бүрийн хэлэлцүүлгээс гарсан засвар дараагийн мөчлөгийн төлөвлөлтөд орно.</w:t>
      </w:r>
    </w:p>
    <w:p>
      <w:pPr>
        <w:pStyle w:val="Heading3"/>
      </w:pPr>
      <w:r>
        <w:t xml:space="preserve">3.4. Өгөгдөл цуглуулах арга, хэрэгсэл</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Арга</w:t>
            </w:r>
          </w:p>
        </w:tc>
        <w:tc>
          <w:tcPr>
            <w:tcW w:w="2340" w:type="dxa"/>
            <w:shd w:val="clear" w:color="auto" w:fill="F2F2F2"/>
          </w:tcPr>
          <w:p>
            <w:pPr/>
            <w:r>
              <w:t xml:space="preserve">Хэрэгсэл</w:t>
            </w:r>
          </w:p>
        </w:tc>
        <w:tc>
          <w:tcPr>
            <w:tcW w:w="2340" w:type="dxa"/>
            <w:shd w:val="clear" w:color="auto" w:fill="F2F2F2"/>
          </w:tcPr>
          <w:p>
            <w:pPr/>
            <w:r>
              <w:t xml:space="preserve">Хэзээ</w:t>
            </w:r>
          </w:p>
        </w:tc>
        <w:tc>
          <w:tcPr>
            <w:tcW w:w="2340" w:type="dxa"/>
            <w:shd w:val="clear" w:color="auto" w:fill="F2F2F2"/>
          </w:tcPr>
          <w:p>
            <w:pPr/>
            <w:r>
              <w:t xml:space="preserve">Асуулт</w:t>
            </w:r>
          </w:p>
        </w:tc>
      </w:tr>
      <w:tr>
        <w:tc>
          <w:tcPr>
            <w:tcW w:w="2340" w:type="dxa"/>
          </w:tcPr>
          <w:p>
            <w:pPr/>
            <w:r>
              <w:t xml:space="preserve">Асуулга</w:t>
            </w:r>
          </w:p>
        </w:tc>
        <w:tc>
          <w:tcPr>
            <w:tcW w:w="2340" w:type="dxa"/>
          </w:tcPr>
          <w:p>
            <w:pPr/>
            <w:r>
              <w:t xml:space="preserve">Багшийн асуулга (Ликертийн 5 түвшин, TPACK-д суурилсан)</w:t>
            </w:r>
          </w:p>
        </w:tc>
        <w:tc>
          <w:tcPr>
            <w:tcW w:w="2340" w:type="dxa"/>
          </w:tcPr>
          <w:p>
            <w:pPr/>
            <w:r>
              <w:t xml:space="preserve">Суурь ба эцсийн</w:t>
            </w:r>
          </w:p>
        </w:tc>
        <w:tc>
          <w:tcPr>
            <w:tcW w:w="2340" w:type="dxa"/>
          </w:tcPr>
          <w:p>
            <w:pPr/>
            <w:r>
              <w:t xml:space="preserve">СА1, СА2</w:t>
            </w:r>
          </w:p>
        </w:tc>
      </w:tr>
      <w:tr>
        <w:tc>
          <w:tcPr>
            <w:tcW w:w="2340" w:type="dxa"/>
          </w:tcPr>
          <w:p>
            <w:pPr/>
            <w:r>
              <w:t xml:space="preserve">Ажиглалт</w:t>
            </w:r>
          </w:p>
        </w:tc>
        <w:tc>
          <w:tcPr>
            <w:tcW w:w="2340" w:type="dxa"/>
          </w:tcPr>
          <w:p>
            <w:pPr/>
            <w:r>
              <w:t xml:space="preserve">Шинжлэн судлах алхмуудаар бүтэцлэсэн ажиглалтын хуудас</w:t>
            </w:r>
          </w:p>
        </w:tc>
        <w:tc>
          <w:tcPr>
            <w:tcW w:w="2340" w:type="dxa"/>
          </w:tcPr>
          <w:p>
            <w:pPr/>
            <w:r>
              <w:t xml:space="preserve">Мөчлөг бүр</w:t>
            </w:r>
          </w:p>
        </w:tc>
        <w:tc>
          <w:tcPr>
            <w:tcW w:w="2340" w:type="dxa"/>
          </w:tcPr>
          <w:p>
            <w:pPr/>
            <w:r>
              <w:t xml:space="preserve">СА1, СА4</w:t>
            </w:r>
          </w:p>
        </w:tc>
      </w:tr>
      <w:tr>
        <w:tc>
          <w:tcPr>
            <w:tcW w:w="2340" w:type="dxa"/>
          </w:tcPr>
          <w:p>
            <w:pPr/>
            <w:r>
              <w:t xml:space="preserve">Хүүхдийн чадамжийн үнэлгээ</w:t>
            </w:r>
          </w:p>
        </w:tc>
        <w:tc>
          <w:tcPr>
            <w:tcW w:w="2340" w:type="dxa"/>
          </w:tcPr>
          <w:p>
            <w:pPr/>
            <w:r>
              <w:t xml:space="preserve">1–4 түвшинт рубрик (асуулт асуух, таамаглах, ажиглах, дүгнэх, илэрхийлэх)</w:t>
            </w:r>
          </w:p>
        </w:tc>
        <w:tc>
          <w:tcPr>
            <w:tcW w:w="2340" w:type="dxa"/>
          </w:tcPr>
          <w:p>
            <w:pPr/>
            <w:r>
              <w:t xml:space="preserve">Өмнөх ба дараах</w:t>
            </w:r>
          </w:p>
        </w:tc>
        <w:tc>
          <w:tcPr>
            <w:tcW w:w="2340" w:type="dxa"/>
          </w:tcPr>
          <w:p>
            <w:pPr/>
            <w:r>
              <w:t xml:space="preserve">СА4</w:t>
            </w:r>
          </w:p>
        </w:tc>
      </w:tr>
      <w:tr>
        <w:tc>
          <w:tcPr>
            <w:tcW w:w="2340" w:type="dxa"/>
          </w:tcPr>
          <w:p>
            <w:pPr/>
            <w:r>
              <w:t xml:space="preserve">Хувийн хавтас</w:t>
            </w:r>
          </w:p>
        </w:tc>
        <w:tc>
          <w:tcPr>
            <w:tcW w:w="2340" w:type="dxa"/>
          </w:tcPr>
          <w:p>
            <w:pPr/>
            <w:r>
              <w:t xml:space="preserve">Зураг, бүтээл, аудио бичлэг, багшийн тэмдэглэл</w:t>
            </w:r>
          </w:p>
        </w:tc>
        <w:tc>
          <w:tcPr>
            <w:tcW w:w="2340" w:type="dxa"/>
          </w:tcPr>
          <w:p>
            <w:pPr/>
            <w:r>
              <w:t xml:space="preserve">Тасралтгүй</w:t>
            </w:r>
          </w:p>
        </w:tc>
        <w:tc>
          <w:tcPr>
            <w:tcW w:w="2340" w:type="dxa"/>
          </w:tcPr>
          <w:p>
            <w:pPr/>
            <w:r>
              <w:t xml:space="preserve">СА3, СА4</w:t>
            </w:r>
          </w:p>
        </w:tc>
      </w:tr>
      <w:tr>
        <w:tc>
          <w:tcPr>
            <w:tcW w:w="2340" w:type="dxa"/>
          </w:tcPr>
          <w:p>
            <w:pPr/>
            <w:r>
              <w:t xml:space="preserve">Хиймэл оюуны хэрэглээний лог</w:t>
            </w:r>
          </w:p>
        </w:tc>
        <w:tc>
          <w:tcPr>
            <w:tcW w:w="2340" w:type="dxa"/>
          </w:tcPr>
          <w:p>
            <w:pPr/>
            <w:r>
              <w:t xml:space="preserve">Багшийн prompt, хариулт, багш юуг зассан тухай тэмдэглэл</w:t>
            </w:r>
          </w:p>
        </w:tc>
        <w:tc>
          <w:tcPr>
            <w:tcW w:w="2340" w:type="dxa"/>
          </w:tcPr>
          <w:p>
            <w:pPr/>
            <w:r>
              <w:t xml:space="preserve">Мөчлөг бүр</w:t>
            </w:r>
          </w:p>
        </w:tc>
        <w:tc>
          <w:tcPr>
            <w:tcW w:w="2340" w:type="dxa"/>
          </w:tcPr>
          <w:p>
            <w:pPr/>
            <w:r>
              <w:t xml:space="preserve">СА2</w:t>
            </w:r>
          </w:p>
        </w:tc>
      </w:tr>
      <w:tr>
        <w:tc>
          <w:tcPr>
            <w:tcW w:w="2340" w:type="dxa"/>
          </w:tcPr>
          <w:p>
            <w:pPr/>
            <w:r>
              <w:t xml:space="preserve">Фокус бүлэг, ярилцлага</w:t>
            </w:r>
          </w:p>
        </w:tc>
        <w:tc>
          <w:tcPr>
            <w:tcW w:w="2340" w:type="dxa"/>
          </w:tcPr>
          <w:p>
            <w:pPr/>
            <w:r>
              <w:t xml:space="preserve">Хагас бүтэцтэй асуултууд</w:t>
            </w:r>
          </w:p>
        </w:tc>
        <w:tc>
          <w:tcPr>
            <w:tcW w:w="2340" w:type="dxa"/>
          </w:tcPr>
          <w:p>
            <w:pPr/>
            <w:r>
              <w:t xml:space="preserve">Мөчлөг бүрийн дараа</w:t>
            </w:r>
          </w:p>
        </w:tc>
        <w:tc>
          <w:tcPr>
            <w:tcW w:w="2340" w:type="dxa"/>
          </w:tcPr>
          <w:p>
            <w:pPr/>
            <w:r>
              <w:t xml:space="preserve">СА2, СА3</w:t>
            </w:r>
          </w:p>
        </w:tc>
      </w:tr>
      <w:tr>
        <w:tc>
          <w:tcPr>
            <w:tcW w:w="2340" w:type="dxa"/>
          </w:tcPr>
          <w:p>
            <w:pPr/>
            <w:r>
              <w:t xml:space="preserve">Эргэцүүлэх тэмдэглэл</w:t>
            </w:r>
          </w:p>
        </w:tc>
        <w:tc>
          <w:tcPr>
            <w:tcW w:w="2340" w:type="dxa"/>
          </w:tcPr>
          <w:p>
            <w:pPr/>
            <w:r>
              <w:t xml:space="preserve">Багшийн өдрийн тэмдэглэл</w:t>
            </w:r>
          </w:p>
        </w:tc>
        <w:tc>
          <w:tcPr>
            <w:tcW w:w="2340" w:type="dxa"/>
          </w:tcPr>
          <w:p>
            <w:pPr/>
            <w:r>
              <w:t xml:space="preserve">Долоо хоног бүр</w:t>
            </w:r>
          </w:p>
        </w:tc>
        <w:tc>
          <w:tcPr>
            <w:tcW w:w="2340" w:type="dxa"/>
          </w:tcPr>
          <w:p>
            <w:pPr/>
            <w:r>
              <w:t xml:space="preserve">СА3</w:t>
            </w:r>
          </w:p>
        </w:tc>
      </w:tr>
    </w:tbl>
    <w:p>
      <w:pPr>
        <w:pStyle w:val="Heading3"/>
      </w:pPr>
      <w:r>
        <w:t xml:space="preserve">3.5. Өгөгдлийн шинжилгээ</w:t>
      </w:r>
    </w:p>
    <w:p>
      <w:pPr>
        <w:pStyle w:val="ListParagraph"/>
        <w:numPr>
          <w:ilvl w:val="0"/>
          <w:numId w:val="8"/>
        </w:numPr>
      </w:pPr>
      <w:r>
        <w:rPr>
          <w:b/>
        </w:rPr>
        <w:t xml:space="preserve">Тоон шинжилгээ:</w:t>
      </w:r>
      <w:r>
        <w:t xml:space="preserve"> дескриптив статистик (дундаж, стандарт хазайлт, түвшин бүрийн хувь) тооцно. Бүлэг доторх өмнөх ба дараах үнэлгээг Wilcoxon-ы тестээр, хоёр бүлгийг Mann–Whitney U тестээр харьцуулна (рубрикийн өгөгдөл рангад тул). Нөлөөллийн хэмжээг r буюу Cohen's d-ээр, асуулгын найдвартай байдлыг Cronbach's α-аар шалгана. Хоёр ажиглагчийн тохирлыг Cohen's κ-аар тооцно. Хэрэгсэл: SPSS, Jamovi, Excel.</w:t>
      </w:r>
    </w:p>
    <w:p>
      <w:pPr>
        <w:pStyle w:val="ListParagraph"/>
        <w:numPr>
          <w:ilvl w:val="0"/>
          <w:numId w:val="8"/>
        </w:numPr>
      </w:pPr>
      <w:r>
        <w:rPr>
          <w:b/>
        </w:rPr>
        <w:t xml:space="preserve">Чанарын шинжилгээ:</w:t>
      </w:r>
      <w:r>
        <w:t xml:space="preserve"> Braun ба Clarke-ийн тематик шинжилгээний 6 алхамаар ажиглалт, хэлэлцүүлгийн тэмдэглэлийг кодлоно. Хиймэл оюунаар анхан шатны код санал болгож болох ч эцсийн кодыг хоёр судлаач шалгана.</w:t>
      </w:r>
    </w:p>
    <w:p>
      <w:pPr>
        <w:pStyle w:val="ListParagraph"/>
        <w:numPr>
          <w:ilvl w:val="0"/>
          <w:numId w:val="8"/>
        </w:numPr>
      </w:pPr>
      <w:r>
        <w:rPr>
          <w:b/>
        </w:rPr>
        <w:t xml:space="preserve">Нэгтгэл:</w:t>
      </w:r>
      <w:r>
        <w:t xml:space="preserve"> тоон ба чанарын үр дүнг гурвалжинлан харьцуулж, мөчлөг хоорондын өөрчлөлтийг тайлбарлана.</w:t>
      </w:r>
    </w:p>
    <w:p>
      <w:pPr>
        <w:pStyle w:val="Heading3"/>
      </w:pPr>
      <w:r>
        <w:t xml:space="preserve">3.6. Ёс зүй ба хиймэл оюуны аюулгүй ашиглалт</w:t>
      </w:r>
    </w:p>
    <w:p>
      <w:pPr>
        <w:pStyle w:val="ListParagraph"/>
        <w:numPr>
          <w:ilvl w:val="0"/>
          <w:numId w:val="9"/>
        </w:numPr>
      </w:pPr>
      <w:r>
        <w:t xml:space="preserve">Цэцэрлэгийн удирдлага, эцэг эхээс бичгээр зөвшөөрөл авна. Хүүхдийн мэдээллийг кодоор нэргүйжүүлнэ.</w:t>
      </w:r>
    </w:p>
    <w:p>
      <w:pPr>
        <w:pStyle w:val="ListParagraph"/>
        <w:numPr>
          <w:ilvl w:val="0"/>
          <w:numId w:val="9"/>
        </w:numPr>
      </w:pPr>
      <w:r>
        <w:t xml:space="preserve">Хүүхдийн нэр, зураг, дуу бичлэг зэрэг хувийн мэдээллийг хиймэл оюуны нээлттэй хэрэгсэлд оруулахгүй.</w:t>
      </w:r>
    </w:p>
    <w:p>
      <w:pPr>
        <w:pStyle w:val="ListParagraph"/>
        <w:numPr>
          <w:ilvl w:val="0"/>
          <w:numId w:val="9"/>
        </w:numPr>
      </w:pPr>
      <w:r>
        <w:t xml:space="preserve">Хиймэл оюуны гаргалтыг багш заавал шалгаж, буруу мэдээлэл, хэвшмэл ойлголт, насанд тохирохгүй агуулгаас сэргийлнэ.</w:t>
      </w:r>
    </w:p>
    <w:p>
      <w:pPr>
        <w:pStyle w:val="ListParagraph"/>
        <w:numPr>
          <w:ilvl w:val="0"/>
          <w:numId w:val="9"/>
        </w:numPr>
      </w:pPr>
      <w:r>
        <w:t xml:space="preserve">Хүүхдийн дэлгэцийн цагийг хязгаарлаж, бодит юмстай харьцах үйл ажиллагааг давамгайлуулна.</w:t>
      </w:r>
    </w:p>
    <w:p>
      <w:pPr>
        <w:pStyle w:val="ListParagraph"/>
        <w:numPr>
          <w:ilvl w:val="0"/>
          <w:numId w:val="9"/>
        </w:numPr>
      </w:pPr>
      <w:r>
        <w:t xml:space="preserve">Хиймэл оюун хүүхдийг үнэлэх шийдвэр гаргахгүй. Түвшин тогтоох эцсийн шийдвэрийг багш гаргана.</w:t>
      </w:r>
    </w:p>
    <w:p>
      <w:pPr>
        <w:pStyle w:val="Heading2"/>
      </w:pPr>
      <w:r>
        <w:t xml:space="preserve">4. Загвар үйл ажиллагаа: “Ус хаашаа алга болдог вэ?”</w:t>
      </w:r>
    </w:p>
    <w:p>
      <w:pPr/>
      <w:r>
        <w:t xml:space="preserve">Энэ загвар нь хичээл судлах эхний мөчлөгт турших хувилбар юм. Хүүхдийн түвшинд тааруулж баг хамтран засна.</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Бүрэлдэхүүн</w:t>
            </w:r>
          </w:p>
        </w:tc>
        <w:tc>
          <w:tcPr>
            <w:tcW w:w="4680" w:type="dxa"/>
            <w:shd w:val="clear" w:color="auto" w:fill="F2F2F2"/>
          </w:tcPr>
          <w:p>
            <w:pPr/>
            <w:r>
              <w:t xml:space="preserve">Агуулга</w:t>
            </w:r>
          </w:p>
        </w:tc>
      </w:tr>
      <w:tr>
        <w:tc>
          <w:tcPr>
            <w:tcW w:w="4680" w:type="dxa"/>
          </w:tcPr>
          <w:p>
            <w:pPr/>
            <w:r>
              <w:t xml:space="preserve">Сургалтын чиглэл</w:t>
            </w:r>
          </w:p>
        </w:tc>
        <w:tc>
          <w:tcPr>
            <w:tcW w:w="4680" w:type="dxa"/>
          </w:tcPr>
          <w:p>
            <w:pPr/>
            <w:r>
              <w:t xml:space="preserve">Байгаль, нийгмийн орчин (Математик, Хэл яриатай нэгдмэл)</w:t>
            </w:r>
          </w:p>
        </w:tc>
      </w:tr>
      <w:tr>
        <w:tc>
          <w:tcPr>
            <w:tcW w:w="4680" w:type="dxa"/>
          </w:tcPr>
          <w:p>
            <w:pPr/>
            <w:r>
              <w:t xml:space="preserve">Нас</w:t>
            </w:r>
          </w:p>
        </w:tc>
        <w:tc>
          <w:tcPr>
            <w:tcW w:w="4680" w:type="dxa"/>
          </w:tcPr>
          <w:p>
            <w:pPr/>
            <w:r>
              <w:t xml:space="preserve">4–5 нас</w:t>
            </w:r>
          </w:p>
        </w:tc>
      </w:tr>
      <w:tr>
        <w:tc>
          <w:tcPr>
            <w:tcW w:w="4680" w:type="dxa"/>
          </w:tcPr>
          <w:p>
            <w:pPr/>
            <w:r>
              <w:t xml:space="preserve">Хугацаа</w:t>
            </w:r>
          </w:p>
        </w:tc>
        <w:tc>
          <w:tcPr>
            <w:tcW w:w="4680" w:type="dxa"/>
          </w:tcPr>
          <w:p>
            <w:pPr/>
            <w:r>
              <w:t xml:space="preserve">1 долоо хоног, өдөрт 20–25 минут</w:t>
            </w:r>
          </w:p>
        </w:tc>
      </w:tr>
      <w:tr>
        <w:tc>
          <w:tcPr>
            <w:tcW w:w="4680" w:type="dxa"/>
          </w:tcPr>
          <w:p>
            <w:pPr/>
            <w:r>
              <w:t xml:space="preserve">Суралцахуйн үр дүн</w:t>
            </w:r>
          </w:p>
        </w:tc>
        <w:tc>
          <w:tcPr>
            <w:tcW w:w="4680" w:type="dxa"/>
          </w:tcPr>
          <w:p>
            <w:pPr/>
            <w:r>
              <w:t xml:space="preserve">Цаг агаарын өөрчлөлтийг ажиглаж, тэмдэглэл хөтөлж, шалтгаан үр дагаврыг олох; усаа гамнах</w:t>
            </w:r>
          </w:p>
        </w:tc>
      </w:tr>
      <w:tr>
        <w:tc>
          <w:tcPr>
            <w:tcW w:w="4680" w:type="dxa"/>
          </w:tcPr>
          <w:p>
            <w:pPr/>
            <w:r>
              <w:t xml:space="preserve">Хөгжүүлэх чадамж</w:t>
            </w:r>
          </w:p>
        </w:tc>
        <w:tc>
          <w:tcPr>
            <w:tcW w:w="4680" w:type="dxa"/>
          </w:tcPr>
          <w:p>
            <w:pPr/>
            <w:r>
              <w:t xml:space="preserve">Шүүн тунгаах, харилцах, хамтран ажиллах</w:t>
            </w:r>
          </w:p>
        </w:tc>
      </w:tr>
      <w:tr>
        <w:tc>
          <w:tcPr>
            <w:tcW w:w="4680" w:type="dxa"/>
          </w:tcPr>
          <w:p>
            <w:pPr/>
            <w:r>
              <w:t xml:space="preserve">Хэрэглэгдэхүүн</w:t>
            </w:r>
          </w:p>
        </w:tc>
        <w:tc>
          <w:tcPr>
            <w:tcW w:w="4680" w:type="dxa"/>
          </w:tcPr>
          <w:p>
            <w:pPr/>
            <w:r>
              <w:t xml:space="preserve">Ижил хэмжээтэй 3 аяга, ус, тэмдэглэгээний наалт, зурган тэмдэглэлийн хуудас, таблет (зураг авах)</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Алхам</w:t>
            </w:r>
          </w:p>
        </w:tc>
        <w:tc>
          <w:tcPr>
            <w:tcW w:w="2340" w:type="dxa"/>
            <w:shd w:val="clear" w:color="auto" w:fill="F2F2F2"/>
          </w:tcPr>
          <w:p>
            <w:pPr/>
            <w:r>
              <w:t xml:space="preserve">Хүүхдийн үйл ажиллагаа</w:t>
            </w:r>
          </w:p>
        </w:tc>
        <w:tc>
          <w:tcPr>
            <w:tcW w:w="2340" w:type="dxa"/>
            <w:shd w:val="clear" w:color="auto" w:fill="F2F2F2"/>
          </w:tcPr>
          <w:p>
            <w:pPr/>
            <w:r>
              <w:t xml:space="preserve">Багшийн үйл ажиллагаа ба цуглуулах өгөгдөл</w:t>
            </w:r>
          </w:p>
        </w:tc>
        <w:tc>
          <w:tcPr>
            <w:tcW w:w="2340" w:type="dxa"/>
            <w:shd w:val="clear" w:color="auto" w:fill="F2F2F2"/>
          </w:tcPr>
          <w:p>
            <w:pPr/>
            <w:r>
              <w:t xml:space="preserve">Хиймэл оюуны дэмжлэг (багшид)</w:t>
            </w:r>
          </w:p>
        </w:tc>
      </w:tr>
      <w:tr>
        <w:tc>
          <w:tcPr>
            <w:tcW w:w="2340" w:type="dxa"/>
          </w:tcPr>
          <w:p>
            <w:pPr/>
            <w:r>
              <w:t xml:space="preserve">1. Асуулт асуух</w:t>
            </w:r>
          </w:p>
        </w:tc>
        <w:tc>
          <w:tcPr>
            <w:tcW w:w="2340" w:type="dxa"/>
          </w:tcPr>
          <w:p>
            <w:pPr/>
            <w:r>
              <w:t xml:space="preserve">Шалбаас алга болсон усны тухай үлгэр сонсож, “Ус хаашаа явсан бэ?” гэж таамаглалаа хэлнэ</w:t>
            </w:r>
          </w:p>
        </w:tc>
        <w:tc>
          <w:tcPr>
            <w:tcW w:w="2340" w:type="dxa"/>
          </w:tcPr>
          <w:p>
            <w:pPr/>
            <w:r>
              <w:t xml:space="preserve">Хүүхдийн таамаглалыг аудиогоор бичиж авна (гарааны өгөгдөл)</w:t>
            </w:r>
          </w:p>
        </w:tc>
        <w:tc>
          <w:tcPr>
            <w:tcW w:w="2340" w:type="dxa"/>
          </w:tcPr>
          <w:p>
            <w:pPr/>
            <w:r>
              <w:t xml:space="preserve">Насанд тохирсон богино үлгэр, таамаглал өдөөх асуултын жагсаалт бэлтгэнэ</w:t>
            </w:r>
          </w:p>
        </w:tc>
      </w:tr>
      <w:tr>
        <w:tc>
          <w:tcPr>
            <w:tcW w:w="2340" w:type="dxa"/>
          </w:tcPr>
          <w:p>
            <w:pPr/>
            <w:r>
              <w:t xml:space="preserve">2. Ажиглах, турших</w:t>
            </w:r>
          </w:p>
        </w:tc>
        <w:tc>
          <w:tcPr>
            <w:tcW w:w="2340" w:type="dxa"/>
          </w:tcPr>
          <w:p>
            <w:pPr/>
            <w:r>
              <w:t xml:space="preserve">Аяганд ус хийж наранд, сүүдэрт, тагтай гэж байрлуулаад өдөр бүр усны түвшинг наалтаар тэмдэглэнэ</w:t>
            </w:r>
          </w:p>
        </w:tc>
        <w:tc>
          <w:tcPr>
            <w:tcW w:w="2340" w:type="dxa"/>
          </w:tcPr>
          <w:p>
            <w:pPr/>
            <w:r>
              <w:t xml:space="preserve">Ажиглалтын хуудсаар хүүхдийн оролцоог тэмдэглэж, аяганы зургийг өдөр бүр авна</w:t>
            </w:r>
          </w:p>
        </w:tc>
        <w:tc>
          <w:tcPr>
            <w:tcW w:w="2340" w:type="dxa"/>
          </w:tcPr>
          <w:p>
            <w:pPr/>
            <w:r>
              <w:t xml:space="preserve">Аюулгүй туршилтын хувилбар, ажиглалтын хуудас боловсруулна</w:t>
            </w:r>
          </w:p>
        </w:tc>
      </w:tr>
      <w:tr>
        <w:tc>
          <w:tcPr>
            <w:tcW w:w="2340" w:type="dxa"/>
          </w:tcPr>
          <w:p>
            <w:pPr/>
            <w:r>
              <w:t xml:space="preserve">3. Мэдээлэл боловсруулах</w:t>
            </w:r>
          </w:p>
        </w:tc>
        <w:tc>
          <w:tcPr>
            <w:tcW w:w="2340" w:type="dxa"/>
          </w:tcPr>
          <w:p>
            <w:pPr/>
            <w:r>
              <w:t xml:space="preserve">Аягануудын зургийг дарааллаар нь тавьж, аль нь илүү хурдан буурсныг харьцуулна</w:t>
            </w:r>
          </w:p>
        </w:tc>
        <w:tc>
          <w:tcPr>
            <w:tcW w:w="2340" w:type="dxa"/>
          </w:tcPr>
          <w:p>
            <w:pPr/>
            <w:r>
              <w:t xml:space="preserve">Хүүхдийн тайлбарыг бичиж, рубрикаар түвшин тогтооно</w:t>
            </w:r>
          </w:p>
        </w:tc>
        <w:tc>
          <w:tcPr>
            <w:tcW w:w="2340" w:type="dxa"/>
          </w:tcPr>
          <w:p>
            <w:pPr/>
            <w:r>
              <w:t xml:space="preserve">Ажиглалтын тэмдэглэлийг нэгтгэж, түвшний санал гаргана; багш шалгана</w:t>
            </w:r>
          </w:p>
        </w:tc>
      </w:tr>
      <w:tr>
        <w:tc>
          <w:tcPr>
            <w:tcW w:w="2340" w:type="dxa"/>
          </w:tcPr>
          <w:p>
            <w:pPr/>
            <w:r>
              <w:t xml:space="preserve">4. Илэрхийлэх, хуваалцах</w:t>
            </w:r>
          </w:p>
        </w:tc>
        <w:tc>
          <w:tcPr>
            <w:tcW w:w="2340" w:type="dxa"/>
          </w:tcPr>
          <w:p>
            <w:pPr/>
            <w:r>
              <w:t xml:space="preserve">Багаараа “Ус наранд хурдан алга болдог” гэсэн дүгнэлтээ зураг, үгээр тайлбарлана</w:t>
            </w:r>
          </w:p>
        </w:tc>
        <w:tc>
          <w:tcPr>
            <w:tcW w:w="2340" w:type="dxa"/>
          </w:tcPr>
          <w:p>
            <w:pPr/>
            <w:r>
              <w:t xml:space="preserve">Хүүхдийн яриаг бичиж, хувийн хавтаст хадгална</w:t>
            </w:r>
          </w:p>
        </w:tc>
        <w:tc>
          <w:tcPr>
            <w:tcW w:w="2340" w:type="dxa"/>
          </w:tcPr>
          <w:p>
            <w:pPr/>
            <w:r>
              <w:t xml:space="preserve">Ярианы бичлэгийг бичвэрт буулгаж, шинэ үгийн хэрэглээг тодорхойлно</w:t>
            </w:r>
          </w:p>
        </w:tc>
      </w:tr>
      <w:tr>
        <w:tc>
          <w:tcPr>
            <w:tcW w:w="2340" w:type="dxa"/>
          </w:tcPr>
          <w:p>
            <w:pPr/>
            <w:r>
              <w:t xml:space="preserve">5. Бататгах, хэрэглэх</w:t>
            </w:r>
          </w:p>
        </w:tc>
        <w:tc>
          <w:tcPr>
            <w:tcW w:w="2340" w:type="dxa"/>
          </w:tcPr>
          <w:p>
            <w:pPr/>
            <w:r>
              <w:t xml:space="preserve">Ангидаа ус хэмнэх дүрэм хамтран гаргаж, гэртээ эцэг эхтэйгээ дахин туршина</w:t>
            </w:r>
          </w:p>
        </w:tc>
        <w:tc>
          <w:tcPr>
            <w:tcW w:w="2340" w:type="dxa"/>
          </w:tcPr>
          <w:p>
            <w:pPr/>
            <w:r>
              <w:t xml:space="preserve">Дараах үнэлгээ хийж, эцэг эхээс санал авна</w:t>
            </w:r>
          </w:p>
        </w:tc>
        <w:tc>
          <w:tcPr>
            <w:tcW w:w="2340" w:type="dxa"/>
          </w:tcPr>
          <w:p>
            <w:pPr/>
            <w:r>
              <w:t xml:space="preserve">Хүүхдийн түвшинд тохирсон даалгавар, эцэг эхэд хүргэх зөвлөмж боловсруулна</w:t>
            </w:r>
          </w:p>
        </w:tc>
      </w:tr>
    </w:tbl>
    <w:p>
      <w:pPr/>
      <w:r>
        <w:rPr>
          <w:b/>
        </w:rPr>
        <w:t xml:space="preserve">Хүүхдийн шинжлэн судлах чадварын рубрик (жишээ):</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Шалгуур</w:t>
            </w:r>
          </w:p>
        </w:tc>
        <w:tc>
          <w:tcPr>
            <w:tcW w:w="1872" w:type="dxa"/>
            <w:shd w:val="clear" w:color="auto" w:fill="F2F2F2"/>
          </w:tcPr>
          <w:p>
            <w:pPr/>
            <w:r>
              <w:t xml:space="preserve">1-р түвшин</w:t>
            </w:r>
          </w:p>
        </w:tc>
        <w:tc>
          <w:tcPr>
            <w:tcW w:w="1872" w:type="dxa"/>
            <w:shd w:val="clear" w:color="auto" w:fill="F2F2F2"/>
          </w:tcPr>
          <w:p>
            <w:pPr/>
            <w:r>
              <w:t xml:space="preserve">2-р түвшин</w:t>
            </w:r>
          </w:p>
        </w:tc>
        <w:tc>
          <w:tcPr>
            <w:tcW w:w="1872" w:type="dxa"/>
            <w:shd w:val="clear" w:color="auto" w:fill="F2F2F2"/>
          </w:tcPr>
          <w:p>
            <w:pPr/>
            <w:r>
              <w:t xml:space="preserve">3-р түвшин</w:t>
            </w:r>
          </w:p>
        </w:tc>
        <w:tc>
          <w:tcPr>
            <w:tcW w:w="1872" w:type="dxa"/>
            <w:shd w:val="clear" w:color="auto" w:fill="F2F2F2"/>
          </w:tcPr>
          <w:p>
            <w:pPr/>
            <w:r>
              <w:t xml:space="preserve">4-р түвшин</w:t>
            </w:r>
          </w:p>
        </w:tc>
      </w:tr>
      <w:tr>
        <w:tc>
          <w:tcPr>
            <w:tcW w:w="1872" w:type="dxa"/>
          </w:tcPr>
          <w:p>
            <w:pPr/>
            <w:r>
              <w:t xml:space="preserve">Асуулт асуух</w:t>
            </w:r>
          </w:p>
        </w:tc>
        <w:tc>
          <w:tcPr>
            <w:tcW w:w="1872" w:type="dxa"/>
          </w:tcPr>
          <w:p>
            <w:pPr/>
            <w:r>
              <w:t xml:space="preserve">Багшийн асуултад хариулна</w:t>
            </w:r>
          </w:p>
        </w:tc>
        <w:tc>
          <w:tcPr>
            <w:tcW w:w="1872" w:type="dxa"/>
          </w:tcPr>
          <w:p>
            <w:pPr/>
            <w:r>
              <w:t xml:space="preserve">“Юу?” гэсэн асуулт асууна</w:t>
            </w:r>
          </w:p>
        </w:tc>
        <w:tc>
          <w:tcPr>
            <w:tcW w:w="1872" w:type="dxa"/>
          </w:tcPr>
          <w:p>
            <w:pPr/>
            <w:r>
              <w:t xml:space="preserve">“Яагаад?” гэсэн асуулт асууна</w:t>
            </w:r>
          </w:p>
        </w:tc>
        <w:tc>
          <w:tcPr>
            <w:tcW w:w="1872" w:type="dxa"/>
          </w:tcPr>
          <w:p>
            <w:pPr/>
            <w:r>
              <w:t xml:space="preserve">Шалгаж болох асуулт дэвшүүлнэ</w:t>
            </w:r>
          </w:p>
        </w:tc>
      </w:tr>
      <w:tr>
        <w:tc>
          <w:tcPr>
            <w:tcW w:w="1872" w:type="dxa"/>
          </w:tcPr>
          <w:p>
            <w:pPr/>
            <w:r>
              <w:t xml:space="preserve">Таамаглах</w:t>
            </w:r>
          </w:p>
        </w:tc>
        <w:tc>
          <w:tcPr>
            <w:tcW w:w="1872" w:type="dxa"/>
          </w:tcPr>
          <w:p>
            <w:pPr/>
            <w:r>
              <w:t xml:space="preserve">Таамаглал дэвшүүлэхгүй</w:t>
            </w:r>
          </w:p>
        </w:tc>
        <w:tc>
          <w:tcPr>
            <w:tcW w:w="1872" w:type="dxa"/>
          </w:tcPr>
          <w:p>
            <w:pPr/>
            <w:r>
              <w:t xml:space="preserve">Санамсаргүй таамаглана</w:t>
            </w:r>
          </w:p>
        </w:tc>
        <w:tc>
          <w:tcPr>
            <w:tcW w:w="1872" w:type="dxa"/>
          </w:tcPr>
          <w:p>
            <w:pPr/>
            <w:r>
              <w:t xml:space="preserve">Туршлагадаа тулгуурлан таамаглана</w:t>
            </w:r>
          </w:p>
        </w:tc>
        <w:tc>
          <w:tcPr>
            <w:tcW w:w="1872" w:type="dxa"/>
          </w:tcPr>
          <w:p>
            <w:pPr/>
            <w:r>
              <w:t xml:space="preserve">Таамаглалаа шалтгаантай тайлбарлана</w:t>
            </w:r>
          </w:p>
        </w:tc>
      </w:tr>
      <w:tr>
        <w:tc>
          <w:tcPr>
            <w:tcW w:w="1872" w:type="dxa"/>
          </w:tcPr>
          <w:p>
            <w:pPr/>
            <w:r>
              <w:t xml:space="preserve">Ажиглах, тэмдэглэх</w:t>
            </w:r>
          </w:p>
        </w:tc>
        <w:tc>
          <w:tcPr>
            <w:tcW w:w="1872" w:type="dxa"/>
          </w:tcPr>
          <w:p>
            <w:pPr/>
            <w:r>
              <w:t xml:space="preserve">Тусламжтайгаар ажиглана</w:t>
            </w:r>
          </w:p>
        </w:tc>
        <w:tc>
          <w:tcPr>
            <w:tcW w:w="1872" w:type="dxa"/>
          </w:tcPr>
          <w:p>
            <w:pPr/>
            <w:r>
              <w:t xml:space="preserve">Бие даан ажиглана</w:t>
            </w:r>
          </w:p>
        </w:tc>
        <w:tc>
          <w:tcPr>
            <w:tcW w:w="1872" w:type="dxa"/>
          </w:tcPr>
          <w:p>
            <w:pPr/>
            <w:r>
              <w:t xml:space="preserve">Ажигласнаа тэмдэглэнэ</w:t>
            </w:r>
          </w:p>
        </w:tc>
        <w:tc>
          <w:tcPr>
            <w:tcW w:w="1872" w:type="dxa"/>
          </w:tcPr>
          <w:p>
            <w:pPr/>
            <w:r>
              <w:t xml:space="preserve">Тэмдэглэлээ харьцуулж өөрчлөлтийг олно</w:t>
            </w:r>
          </w:p>
        </w:tc>
      </w:tr>
      <w:tr>
        <w:tc>
          <w:tcPr>
            <w:tcW w:w="1872" w:type="dxa"/>
          </w:tcPr>
          <w:p>
            <w:pPr/>
            <w:r>
              <w:t xml:space="preserve">Дүгнэх, илэрхийлэх</w:t>
            </w:r>
          </w:p>
        </w:tc>
        <w:tc>
          <w:tcPr>
            <w:tcW w:w="1872" w:type="dxa"/>
          </w:tcPr>
          <w:p>
            <w:pPr/>
            <w:r>
              <w:t xml:space="preserve">Нэг үгээр хариулна</w:t>
            </w:r>
          </w:p>
        </w:tc>
        <w:tc>
          <w:tcPr>
            <w:tcW w:w="1872" w:type="dxa"/>
          </w:tcPr>
          <w:p>
            <w:pPr/>
            <w:r>
              <w:t xml:space="preserve">Дүгнэлтээ зургаар илэрхийлнэ</w:t>
            </w:r>
          </w:p>
        </w:tc>
        <w:tc>
          <w:tcPr>
            <w:tcW w:w="1872" w:type="dxa"/>
          </w:tcPr>
          <w:p>
            <w:pPr/>
            <w:r>
              <w:t xml:space="preserve">Дүгнэлтээ өгүүлбэрээр тайлбарлана</w:t>
            </w:r>
          </w:p>
        </w:tc>
        <w:tc>
          <w:tcPr>
            <w:tcW w:w="1872" w:type="dxa"/>
          </w:tcPr>
          <w:p>
            <w:pPr/>
            <w:r>
              <w:t xml:space="preserve">Шалтгаан, үр дагаварыг холбон тайлбарлана</w:t>
            </w:r>
          </w:p>
        </w:tc>
      </w:tr>
      <w:tr>
        <w:tc>
          <w:tcPr>
            <w:tcW w:w="1872" w:type="dxa"/>
          </w:tcPr>
          <w:p>
            <w:pPr/>
            <w:r>
              <w:t xml:space="preserve">Хамтрах</w:t>
            </w:r>
          </w:p>
        </w:tc>
        <w:tc>
          <w:tcPr>
            <w:tcW w:w="1872" w:type="dxa"/>
          </w:tcPr>
          <w:p>
            <w:pPr/>
            <w:r>
              <w:t xml:space="preserve">Ганцаараа ажиллана</w:t>
            </w:r>
          </w:p>
        </w:tc>
        <w:tc>
          <w:tcPr>
            <w:tcW w:w="1872" w:type="dxa"/>
          </w:tcPr>
          <w:p>
            <w:pPr/>
            <w:r>
              <w:t xml:space="preserve">Багшийн заавраар хамтрана</w:t>
            </w:r>
          </w:p>
        </w:tc>
        <w:tc>
          <w:tcPr>
            <w:tcW w:w="1872" w:type="dxa"/>
          </w:tcPr>
          <w:p>
            <w:pPr/>
            <w:r>
              <w:t xml:space="preserve">Ээлжээ хүлээж хамтрана</w:t>
            </w:r>
          </w:p>
        </w:tc>
        <w:tc>
          <w:tcPr>
            <w:tcW w:w="1872" w:type="dxa"/>
          </w:tcPr>
          <w:p>
            <w:pPr/>
            <w:r>
              <w:t xml:space="preserve">Бусдын санааг сонсож хамт шийдэж гаргана</w:t>
            </w:r>
          </w:p>
        </w:tc>
      </w:tr>
    </w:tbl>
    <w:p>
      <w:pPr>
        <w:pStyle w:val="Heading2"/>
      </w:pPr>
      <w:r>
        <w:t xml:space="preserve">5. Хүлээгдэж буй үр дүн ба хязгаарлалт</w:t>
      </w:r>
    </w:p>
    <w:p>
      <w:pPr/>
      <w:r>
        <w:t xml:space="preserve">Судалгаа хараахан хийгдээгүй тул доорх нь бодит үр дүн биш, </w:t>
      </w:r>
      <w:r>
        <w:rPr>
          <w:b/>
        </w:rPr>
        <w:t xml:space="preserve">хүлээгдэж буй үр дүн</w:t>
      </w:r>
      <w:r>
        <w:t xml:space="preserve"> юм. Бодит өгөгдөл цугларсны дараа энэ хэсгийг “Үр дүн, хэлэлцүүлэг” болгон шинэчилнэ.</w:t>
      </w:r>
    </w:p>
    <w:p>
      <w:pPr>
        <w:pStyle w:val="Heading3"/>
      </w:pPr>
      <w:r>
        <w:t xml:space="preserve">5.1. Хүлээгдэж буй үр дүн</w:t>
      </w:r>
    </w:p>
    <w:p>
      <w:pPr>
        <w:pStyle w:val="ListParagraph"/>
        <w:numPr>
          <w:ilvl w:val="0"/>
          <w:numId w:val="10"/>
        </w:numPr>
      </w:pPr>
      <w:r>
        <w:rPr>
          <w:b/>
        </w:rPr>
        <w:t xml:space="preserve">Хүүхэд:</w:t>
      </w:r>
      <w:r>
        <w:t xml:space="preserve"> асуулт асуух, таамаглах, дүгнэлтээ илэрхийлэх рубрикийн дундаж түвшин туршилтын бүлэгт харьцуулах бүлгээс илүү өснө.</w:t>
      </w:r>
    </w:p>
    <w:p>
      <w:pPr>
        <w:pStyle w:val="ListParagraph"/>
        <w:numPr>
          <w:ilvl w:val="0"/>
          <w:numId w:val="10"/>
        </w:numPr>
      </w:pPr>
      <w:r>
        <w:rPr>
          <w:b/>
        </w:rPr>
        <w:t xml:space="preserve">Багш:</w:t>
      </w:r>
      <w:r>
        <w:t xml:space="preserve"> төлөвлөлт, өгөгдөл нэгтгэхэд зарцуулах цаг буурч, хүүхэдтэй шууд харилцах цаг нэмэгдэнэ. Хүүхэд бүрийн ахицад тулгуурласан шийдвэр гаргах дадал сууна.</w:t>
      </w:r>
    </w:p>
    <w:p>
      <w:pPr>
        <w:pStyle w:val="ListParagraph"/>
        <w:numPr>
          <w:ilvl w:val="0"/>
          <w:numId w:val="10"/>
        </w:numPr>
      </w:pPr>
      <w:r>
        <w:rPr>
          <w:b/>
        </w:rPr>
        <w:t xml:space="preserve">Арга зүйн бүтээгдэхүүн:</w:t>
      </w:r>
      <w:r>
        <w:t xml:space="preserve"> туршигдсан 3 загвар үйл ажиллагаа, ажиглалтын хуудас ба рубрик, багшид зориулсан хиймэл оюунд хандах заавар (prompt-ын жишээнүүд).</w:t>
      </w:r>
    </w:p>
    <w:p>
      <w:pPr>
        <w:pStyle w:val="ListParagraph"/>
        <w:numPr>
          <w:ilvl w:val="0"/>
          <w:numId w:val="10"/>
        </w:numPr>
      </w:pPr>
      <w:r>
        <w:rPr>
          <w:b/>
        </w:rPr>
        <w:t xml:space="preserve">Эцэг эх:</w:t>
      </w:r>
      <w:r>
        <w:t xml:space="preserve"> гэрийн орчинд хүүхдийнхээ сонирхлыг дэмжих тодорхой зөвлөмж авч, оролцоо нь нэмэгдэнэ.</w:t>
      </w:r>
    </w:p>
    <w:p>
      <w:pPr>
        <w:pStyle w:val="Heading3"/>
      </w:pPr>
      <w:r>
        <w:t xml:space="preserve">5.2. Хязгаарлалт ба эрсдэл</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Хязгаарлалт</w:t>
            </w:r>
          </w:p>
        </w:tc>
        <w:tc>
          <w:tcPr>
            <w:tcW w:w="3120" w:type="dxa"/>
            <w:shd w:val="clear" w:color="auto" w:fill="F2F2F2"/>
          </w:tcPr>
          <w:p>
            <w:pPr/>
            <w:r>
              <w:t xml:space="preserve">Нөлөө</w:t>
            </w:r>
          </w:p>
        </w:tc>
        <w:tc>
          <w:tcPr>
            <w:tcW w:w="3120" w:type="dxa"/>
            <w:shd w:val="clear" w:color="auto" w:fill="F2F2F2"/>
          </w:tcPr>
          <w:p>
            <w:pPr/>
            <w:r>
              <w:t xml:space="preserve">Бууруулах арга</w:t>
            </w:r>
          </w:p>
        </w:tc>
      </w:tr>
      <w:tr>
        <w:tc>
          <w:tcPr>
            <w:tcW w:w="3120" w:type="dxa"/>
          </w:tcPr>
          <w:p>
            <w:pPr/>
            <w:r>
              <w:t xml:space="preserve">Түүвэр бага (2 бүлэг)</w:t>
            </w:r>
          </w:p>
        </w:tc>
        <w:tc>
          <w:tcPr>
            <w:tcW w:w="3120" w:type="dxa"/>
          </w:tcPr>
          <w:p>
            <w:pPr/>
            <w:r>
              <w:t xml:space="preserve">Үр дүнг өргөн нэгтгэх боломжгүй</w:t>
            </w:r>
          </w:p>
        </w:tc>
        <w:tc>
          <w:tcPr>
            <w:tcW w:w="3120" w:type="dxa"/>
          </w:tcPr>
          <w:p>
            <w:pPr/>
            <w:r>
              <w:t xml:space="preserve">Чанарын өгөгдлөөр гүнзгийрүүлэх, дараагийн шатанд өргөтгөх</w:t>
            </w:r>
          </w:p>
        </w:tc>
      </w:tr>
      <w:tr>
        <w:tc>
          <w:tcPr>
            <w:tcW w:w="3120" w:type="dxa"/>
          </w:tcPr>
          <w:p>
            <w:pPr/>
            <w:r>
              <w:t xml:space="preserve">Бүлгийг санамсаргүйгээр хуваарлаагүй</w:t>
            </w:r>
          </w:p>
        </w:tc>
        <w:tc>
          <w:tcPr>
            <w:tcW w:w="3120" w:type="dxa"/>
          </w:tcPr>
          <w:p>
            <w:pPr/>
            <w:r>
              <w:t xml:space="preserve">Бүлгүүдийн анхны ялгаа үр дүнд нөлөөлнө</w:t>
            </w:r>
          </w:p>
        </w:tc>
        <w:tc>
          <w:tcPr>
            <w:tcW w:w="3120" w:type="dxa"/>
          </w:tcPr>
          <w:p>
            <w:pPr/>
            <w:r>
              <w:t xml:space="preserve">Гарааны үнэлгээгээр бүлгүүдийг тэнцүүлэх, өсөлтийг харьцуулах</w:t>
            </w:r>
          </w:p>
        </w:tc>
      </w:tr>
      <w:tr>
        <w:tc>
          <w:tcPr>
            <w:tcW w:w="3120" w:type="dxa"/>
          </w:tcPr>
          <w:p>
            <w:pPr/>
            <w:r>
              <w:t xml:space="preserve">Ажиглагчийн хэвийн бус байдал</w:t>
            </w:r>
          </w:p>
        </w:tc>
        <w:tc>
          <w:tcPr>
            <w:tcW w:w="3120" w:type="dxa"/>
          </w:tcPr>
          <w:p>
            <w:pPr/>
            <w:r>
              <w:t xml:space="preserve">Рубрикийн үнэлгээ хазайна</w:t>
            </w:r>
          </w:p>
        </w:tc>
        <w:tc>
          <w:tcPr>
            <w:tcW w:w="3120" w:type="dxa"/>
          </w:tcPr>
          <w:p>
            <w:pPr/>
            <w:r>
              <w:t xml:space="preserve">2 ажиглагч, Cohen's κ ≥ 0.6</w:t>
            </w:r>
          </w:p>
        </w:tc>
      </w:tr>
      <w:tr>
        <w:tc>
          <w:tcPr>
            <w:tcW w:w="3120" w:type="dxa"/>
          </w:tcPr>
          <w:p>
            <w:pPr/>
            <w:r>
              <w:t xml:space="preserve">Шинэлэг байдлаас үүдэсэн урам зориг (novelty effect)</w:t>
            </w:r>
          </w:p>
        </w:tc>
        <w:tc>
          <w:tcPr>
            <w:tcW w:w="3120" w:type="dxa"/>
          </w:tcPr>
          <w:p>
            <w:pPr/>
            <w:r>
              <w:t xml:space="preserve">Түр зуурын өсөлт</w:t>
            </w:r>
          </w:p>
        </w:tc>
        <w:tc>
          <w:tcPr>
            <w:tcW w:w="3120" w:type="dxa"/>
          </w:tcPr>
          <w:p>
            <w:pPr/>
            <w:r>
              <w:t xml:space="preserve">3 мөчлөгт давтаж хэмжих</w:t>
            </w:r>
          </w:p>
        </w:tc>
      </w:tr>
      <w:tr>
        <w:tc>
          <w:tcPr>
            <w:tcW w:w="3120" w:type="dxa"/>
          </w:tcPr>
          <w:p>
            <w:pPr/>
            <w:r>
              <w:t xml:space="preserve">Хиймэл оюуны буруу гаргалт</w:t>
            </w:r>
          </w:p>
        </w:tc>
        <w:tc>
          <w:tcPr>
            <w:tcW w:w="3120" w:type="dxa"/>
          </w:tcPr>
          <w:p>
            <w:pPr/>
            <w:r>
              <w:t xml:space="preserve">Насанд тохирохгүй агуулга</w:t>
            </w:r>
          </w:p>
        </w:tc>
        <w:tc>
          <w:tcPr>
            <w:tcW w:w="3120" w:type="dxa"/>
          </w:tcPr>
          <w:p>
            <w:pPr/>
            <w:r>
              <w:t xml:space="preserve">Багаар шалгаж баталсны дараа ашиглах</w:t>
            </w:r>
          </w:p>
        </w:tc>
      </w:tr>
      <w:tr>
        <w:tc>
          <w:tcPr>
            <w:tcW w:w="3120" w:type="dxa"/>
          </w:tcPr>
          <w:p>
            <w:pPr/>
            <w:r>
              <w:t xml:space="preserve">Цахим технологийн хүртээмжийн ялгаа</w:t>
            </w:r>
          </w:p>
        </w:tc>
        <w:tc>
          <w:tcPr>
            <w:tcW w:w="3120" w:type="dxa"/>
          </w:tcPr>
          <w:p>
            <w:pPr/>
            <w:r>
              <w:t xml:space="preserve">Цэцэрлэг хооронд хэрэгжүүлэх боломж ялгаатай</w:t>
            </w:r>
          </w:p>
        </w:tc>
        <w:tc>
          <w:tcPr>
            <w:tcW w:w="3120" w:type="dxa"/>
          </w:tcPr>
          <w:p>
            <w:pPr/>
            <w:r>
              <w:t xml:space="preserve">Интернэтгүй хувилбар (бэлэн асуултын сан, цаасан хуудас) бэлтгэх</w:t>
            </w:r>
          </w:p>
        </w:tc>
      </w:tr>
    </w:tbl>
    <w:p>
      <w:pPr>
        <w:pStyle w:val="Heading2"/>
      </w:pPr>
      <w:r>
        <w:t xml:space="preserve">6. Дүгнэлт, зөвлөмж</w:t>
      </w:r>
    </w:p>
    <w:p>
      <w:pPr>
        <w:pStyle w:val="Heading3"/>
      </w:pPr>
      <w:r>
        <w:t xml:space="preserve">6.1. Дүгнэлт</w:t>
      </w:r>
    </w:p>
    <w:p>
      <w:pPr>
        <w:pStyle w:val="ListParagraph"/>
        <w:numPr>
          <w:ilvl w:val="0"/>
          <w:numId w:val="11"/>
        </w:numPr>
      </w:pPr>
      <w:r>
        <w:t xml:space="preserve">Шинэчилсэн СӨБ-ын хөтөлбөр шинжлэн судлахад суурилсан арга зүйг Математик, Байгаль нийгмийн орчин, Хэл яриа, Нийгэм-сэтгэл хөдлөлийн чиглэлд тусгасан. Асуухаас хэрэглэх хүртэлх 5 алхам нь судалгааны загварын суурь болно.</w:t>
      </w:r>
    </w:p>
    <w:p>
      <w:pPr>
        <w:pStyle w:val="ListParagraph"/>
        <w:numPr>
          <w:ilvl w:val="0"/>
          <w:numId w:val="11"/>
        </w:numPr>
      </w:pPr>
      <w:r>
        <w:t xml:space="preserve">Арга зүйг үр дүнтэй хэрэгжүүлэх гол нөхцөл нь хүүхэд бүрийн ахицыг 1–4 түвшингээр тасралтгүй ажиглаж, түүндээ тулгуурлан үйл ажиллагааг тохируулах юм.</w:t>
      </w:r>
    </w:p>
    <w:p>
      <w:pPr>
        <w:pStyle w:val="ListParagraph"/>
        <w:numPr>
          <w:ilvl w:val="0"/>
          <w:numId w:val="11"/>
        </w:numPr>
      </w:pPr>
      <w:r>
        <w:t xml:space="preserve">Хиймэл оюун нь багшийн төлөвлөлт, өгөгдөл нэгтгэх ажлыг хөнгөвчилж, хүүхэдтэй шууд харилцах цагийг нэмэгдүүлэх боломжтой. Харин хүүхдийн бодит туршлагыг орлохгүй.</w:t>
      </w:r>
    </w:p>
    <w:p>
      <w:pPr>
        <w:pStyle w:val="ListParagraph"/>
        <w:numPr>
          <w:ilvl w:val="0"/>
          <w:numId w:val="11"/>
        </w:numPr>
      </w:pPr>
      <w:r>
        <w:t xml:space="preserve">Хичээл судлах мөчлөг нь багш нарын хамтын суралцахуйг дэмжиж, загварыг бодит нөхцөлд тааруулан сайжруулах арга зам болно.</w:t>
      </w:r>
    </w:p>
    <w:p>
      <w:pPr>
        <w:pStyle w:val="Heading3"/>
      </w:pPr>
      <w:r>
        <w:t xml:space="preserve">6.2. Зөвлөмж</w:t>
      </w:r>
    </w:p>
    <w:p>
      <w:pPr/>
      <w:r>
        <w:rPr>
          <w:b/>
        </w:rPr>
        <w:t xml:space="preserve">Багшид:</w:t>
      </w:r>
    </w:p>
    <w:p>
      <w:pPr>
        <w:pStyle w:val="ListParagraph"/>
        <w:numPr>
          <w:ilvl w:val="0"/>
          <w:numId w:val="12"/>
        </w:numPr>
      </w:pPr>
      <w:r>
        <w:t xml:space="preserve">Шинжлэн судлах үйл ажиллагааг хүүхдийн өөрсдийн асуусан асуултаас эхлүүлж, ойрын орчиндоо байгаа бодит юмстай холбох.</w:t>
      </w:r>
    </w:p>
    <w:p>
      <w:pPr>
        <w:pStyle w:val="ListParagraph"/>
        <w:numPr>
          <w:ilvl w:val="0"/>
          <w:numId w:val="12"/>
        </w:numPr>
      </w:pPr>
      <w:r>
        <w:t xml:space="preserve">Хиймэл оюуны гаргалтыг “ноорог” гэж үзэж, хүүхдийн нас, хөтөлбөрийн суралцахуйн үр дүнтэй тулган шалгах.</w:t>
      </w:r>
    </w:p>
    <w:p>
      <w:pPr>
        <w:pStyle w:val="ListParagraph"/>
        <w:numPr>
          <w:ilvl w:val="0"/>
          <w:numId w:val="12"/>
        </w:numPr>
      </w:pPr>
      <w:r>
        <w:t xml:space="preserve">Хүүхдийн тайлбар, зураг, бүтээлийг хувийн хавтаст тогтмол хадгалж, ахицыг өгөгдлөөр харуулах.</w:t>
      </w:r>
    </w:p>
    <w:p>
      <w:pPr/>
      <w:r>
        <w:rPr>
          <w:b/>
        </w:rPr>
        <w:t xml:space="preserve">Цэцэрлэгийн удирдлага, арга зүйчид:</w:t>
      </w:r>
    </w:p>
    <w:p>
      <w:pPr>
        <w:pStyle w:val="ListParagraph"/>
        <w:numPr>
          <w:ilvl w:val="0"/>
          <w:numId w:val="13"/>
        </w:numPr>
      </w:pPr>
      <w:r>
        <w:t xml:space="preserve">Хичээл судлах багийн уулзалтыг сард дор хаяж 1 удаа тогтмол зохион байгуулах.</w:t>
      </w:r>
    </w:p>
    <w:p>
      <w:pPr>
        <w:pStyle w:val="ListParagraph"/>
        <w:numPr>
          <w:ilvl w:val="0"/>
          <w:numId w:val="13"/>
        </w:numPr>
      </w:pPr>
      <w:r>
        <w:t xml:space="preserve">Хиймэл оюун ашиглах дотоод журам (хувийн мэдээлэл хамгаалах, дэлгэцийн цаг, шалгах жагсаалт) батлах.</w:t>
      </w:r>
    </w:p>
    <w:p>
      <w:pPr>
        <w:pStyle w:val="ListParagraph"/>
        <w:numPr>
          <w:ilvl w:val="0"/>
          <w:numId w:val="13"/>
        </w:numPr>
      </w:pPr>
      <w:r>
        <w:t xml:space="preserve">Багш нарт өгөгдөл цуглуулах, хиймэл оюунд хандах чадавхийг дээшлүүлэх сургалт зохион байгуулах.</w:t>
      </w:r>
    </w:p>
    <w:p>
      <w:pPr/>
      <w:r>
        <w:rPr>
          <w:b/>
        </w:rPr>
        <w:t xml:space="preserve">Бодлогын түвшинд:</w:t>
      </w:r>
    </w:p>
    <w:p>
      <w:pPr>
        <w:pStyle w:val="ListParagraph"/>
        <w:numPr>
          <w:ilvl w:val="0"/>
          <w:numId w:val="14"/>
        </w:numPr>
      </w:pPr>
      <w:r>
        <w:t xml:space="preserve">СӨБ-д хиймэл оюун ашиглах үндэсний заавар, аюулгүй хэрэгслийн жагсаалт гаргах.</w:t>
      </w:r>
    </w:p>
    <w:p>
      <w:pPr>
        <w:pStyle w:val="ListParagraph"/>
        <w:numPr>
          <w:ilvl w:val="0"/>
          <w:numId w:val="14"/>
        </w:numPr>
      </w:pPr>
      <w:r>
        <w:t xml:space="preserve">Хөтөлбөрийн цахим холбоосоор байршуулсан суралцахуйн үр дүнд туршигдсан загвар үйл ажиллагааг нэмж, багш нар хуваалцах нээлттэй сан бүрдүүлэх.</w:t>
      </w:r>
    </w:p>
    <w:p>
      <w:pPr>
        <w:pStyle w:val="Heading2"/>
      </w:pPr>
      <w:r>
        <w:t xml:space="preserve">7. Ном зүй</w:t>
      </w:r>
    </w:p>
    <w:p>
      <w:pPr>
        <w:pStyle w:val="ListParagraph"/>
        <w:numPr>
          <w:ilvl w:val="0"/>
          <w:numId w:val="15"/>
        </w:numPr>
      </w:pPr>
      <w:r>
        <w:t xml:space="preserve">Боловсролын яам. (2025). </w:t>
      </w:r>
      <w:r>
        <w:rPr>
          <w:i/>
        </w:rPr>
        <w:t xml:space="preserve">Сургуулийн өмнөх боловсролын сургалтын хөтөлбөр.</w:t>
      </w:r>
      <w:r>
        <w:t xml:space="preserve"> Улаанбаатар.</w:t>
      </w:r>
    </w:p>
    <w:p>
      <w:pPr>
        <w:pStyle w:val="ListParagraph"/>
        <w:numPr>
          <w:ilvl w:val="0"/>
          <w:numId w:val="15"/>
        </w:numPr>
      </w:pPr>
      <w:r>
        <w:t xml:space="preserve">Монгол Улсын Засгийн газар. (2024). </w:t>
      </w:r>
      <w:r>
        <w:rPr>
          <w:i/>
        </w:rPr>
        <w:t xml:space="preserve">Сургуулийн өмнөх болон ерөнхий боловсролын сургалтын хөтөлбөрийн үзэл баримтлал (2024–2036).</w:t>
      </w:r>
    </w:p>
    <w:p>
      <w:pPr>
        <w:pStyle w:val="ListParagraph"/>
        <w:numPr>
          <w:ilvl w:val="0"/>
          <w:numId w:val="15"/>
        </w:numPr>
      </w:pPr>
      <w:r>
        <w:t xml:space="preserve">Боловсролын судалгааны үндэсний хүрээлэн. (2022). </w:t>
      </w:r>
      <w:r>
        <w:rPr>
          <w:i/>
        </w:rPr>
        <w:t xml:space="preserve">Сургалтын хөтөлбөрийн хэрэгжилтийн судалгаа</w:t>
      </w:r>
      <w:r>
        <w:t xml:space="preserve"> (СӨБ-ын хөтөлбөрт ишлэснээр).</w:t>
      </w:r>
    </w:p>
    <w:p>
      <w:pPr>
        <w:pStyle w:val="ListParagraph"/>
        <w:numPr>
          <w:ilvl w:val="0"/>
          <w:numId w:val="15"/>
        </w:numPr>
      </w:pPr>
      <w:r>
        <w:t xml:space="preserve">Braun, V., &amp; Clarke, V. (2006). Using thematic analysis in psychology. </w:t>
      </w:r>
      <w:r>
        <w:rPr>
          <w:i/>
        </w:rPr>
        <w:t xml:space="preserve">Qualitative Research in Psychology, 3</w:t>
      </w:r>
      <w:r>
        <w:t xml:space="preserve">(2), 77–101.</w:t>
      </w:r>
    </w:p>
    <w:p>
      <w:pPr>
        <w:pStyle w:val="ListParagraph"/>
        <w:numPr>
          <w:ilvl w:val="0"/>
          <w:numId w:val="15"/>
        </w:numPr>
      </w:pPr>
      <w:r>
        <w:t xml:space="preserve">Lewis, C. (2002). </w:t>
      </w:r>
      <w:r>
        <w:rPr>
          <w:i/>
        </w:rPr>
        <w:t xml:space="preserve">Lesson Study: A Handbook of Teacher-Led Instructional Change.</w:t>
      </w:r>
      <w:r>
        <w:t xml:space="preserve"> Research for Better Schools.</w:t>
      </w:r>
    </w:p>
    <w:p>
      <w:pPr>
        <w:pStyle w:val="ListParagraph"/>
        <w:numPr>
          <w:ilvl w:val="0"/>
          <w:numId w:val="15"/>
        </w:numPr>
      </w:pPr>
      <w:r>
        <w:t xml:space="preserve">Mishra, P., &amp; Koehler, M. J. (2006). Technological pedagogical content knowledge: A framework for teacher knowledge. </w:t>
      </w:r>
      <w:r>
        <w:rPr>
          <w:i/>
        </w:rPr>
        <w:t xml:space="preserve">Teachers College Record, 108</w:t>
      </w:r>
      <w:r>
        <w:t xml:space="preserve">(6), 1017–1054.</w:t>
      </w:r>
    </w:p>
    <w:p>
      <w:pPr>
        <w:pStyle w:val="ListParagraph"/>
        <w:numPr>
          <w:ilvl w:val="0"/>
          <w:numId w:val="15"/>
        </w:numPr>
      </w:pPr>
      <w:r>
        <w:t xml:space="preserve">OECD. (2019). </w:t>
      </w:r>
      <w:r>
        <w:rPr>
          <w:i/>
        </w:rPr>
        <w:t xml:space="preserve">OECD Future of Education and Skills 2030: Learning Compass 2030.</w:t>
      </w:r>
      <w:r>
        <w:t xml:space="preserve"> Paris: OECD.</w:t>
      </w:r>
    </w:p>
    <w:p>
      <w:pPr>
        <w:pStyle w:val="ListParagraph"/>
        <w:numPr>
          <w:ilvl w:val="0"/>
          <w:numId w:val="15"/>
        </w:numPr>
      </w:pPr>
      <w:r>
        <w:t xml:space="preserve">UNESCO. (2021). </w:t>
      </w:r>
      <w:r>
        <w:rPr>
          <w:i/>
        </w:rPr>
        <w:t xml:space="preserve">Reimagining our futures together: A new social contract for education.</w:t>
      </w:r>
      <w:r>
        <w:t xml:space="preserve"> Paris: UNESCO.</w:t>
      </w:r>
    </w:p>
    <w:p>
      <w:pPr>
        <w:pStyle w:val="ListParagraph"/>
        <w:numPr>
          <w:ilvl w:val="0"/>
          <w:numId w:val="15"/>
        </w:numPr>
      </w:pPr>
      <w:r>
        <w:t xml:space="preserve">UNESCO. (2023). </w:t>
      </w:r>
      <w:r>
        <w:rPr>
          <w:i/>
        </w:rPr>
        <w:t xml:space="preserve">Guidance for generative AI in education and research.</w:t>
      </w:r>
      <w:r>
        <w:t xml:space="preserve"> Paris: UNESCO.</w:t>
      </w:r>
    </w:p>
    <w:p>
      <w:pPr>
        <w:pStyle w:val="Heading2"/>
      </w:pPr>
      <w:r>
        <w:t xml:space="preserve">Хавсралт 1. Судалгааны хугацааны төлөвлөгөө (хичээлийн жил)</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Сар</w:t>
            </w:r>
          </w:p>
        </w:tc>
        <w:tc>
          <w:tcPr>
            <w:tcW w:w="3120" w:type="dxa"/>
            <w:shd w:val="clear" w:color="auto" w:fill="F2F2F2"/>
          </w:tcPr>
          <w:p>
            <w:pPr/>
            <w:r>
              <w:t xml:space="preserve">Ажил</w:t>
            </w:r>
          </w:p>
        </w:tc>
        <w:tc>
          <w:tcPr>
            <w:tcW w:w="3120" w:type="dxa"/>
            <w:shd w:val="clear" w:color="auto" w:fill="F2F2F2"/>
          </w:tcPr>
          <w:p>
            <w:pPr/>
            <w:r>
              <w:t xml:space="preserve">Гарах бүтээгдэхүүн</w:t>
            </w:r>
          </w:p>
        </w:tc>
      </w:tr>
      <w:tr>
        <w:tc>
          <w:tcPr>
            <w:tcW w:w="3120" w:type="dxa"/>
          </w:tcPr>
          <w:p>
            <w:pPr/>
            <w:r>
              <w:t xml:space="preserve">1–2</w:t>
            </w:r>
          </w:p>
        </w:tc>
        <w:tc>
          <w:tcPr>
            <w:tcW w:w="3120" w:type="dxa"/>
          </w:tcPr>
          <w:p>
            <w:pPr/>
            <w:r>
              <w:t xml:space="preserve">Суурь судалгаа, зөвшөөрөл, гарааны үнэлгээ</w:t>
            </w:r>
          </w:p>
        </w:tc>
        <w:tc>
          <w:tcPr>
            <w:tcW w:w="3120" w:type="dxa"/>
          </w:tcPr>
          <w:p>
            <w:pPr/>
            <w:r>
              <w:t xml:space="preserve">Асуулгын дүн, суурь өгөгдөл</w:t>
            </w:r>
          </w:p>
        </w:tc>
      </w:tr>
      <w:tr>
        <w:tc>
          <w:tcPr>
            <w:tcW w:w="3120" w:type="dxa"/>
          </w:tcPr>
          <w:p>
            <w:pPr/>
            <w:r>
              <w:t xml:space="preserve">3</w:t>
            </w:r>
          </w:p>
        </w:tc>
        <w:tc>
          <w:tcPr>
            <w:tcW w:w="3120" w:type="dxa"/>
          </w:tcPr>
          <w:p>
            <w:pPr/>
            <w:r>
              <w:t xml:space="preserve">Багшийн сургалт, загвар боловсруулах</w:t>
            </w:r>
          </w:p>
        </w:tc>
        <w:tc>
          <w:tcPr>
            <w:tcW w:w="3120" w:type="dxa"/>
          </w:tcPr>
          <w:p>
            <w:pPr/>
            <w:r>
              <w:t xml:space="preserve">Загварын эх хувилбар, рубрик</w:t>
            </w:r>
          </w:p>
        </w:tc>
      </w:tr>
      <w:tr>
        <w:tc>
          <w:tcPr>
            <w:tcW w:w="3120" w:type="dxa"/>
          </w:tcPr>
          <w:p>
            <w:pPr/>
            <w:r>
              <w:t xml:space="preserve">4–5</w:t>
            </w:r>
          </w:p>
        </w:tc>
        <w:tc>
          <w:tcPr>
            <w:tcW w:w="3120" w:type="dxa"/>
          </w:tcPr>
          <w:p>
            <w:pPr/>
            <w:r>
              <w:t xml:space="preserve">1-р мөчлөг</w:t>
            </w:r>
          </w:p>
        </w:tc>
        <w:tc>
          <w:tcPr>
            <w:tcW w:w="3120" w:type="dxa"/>
          </w:tcPr>
          <w:p>
            <w:pPr/>
            <w:r>
              <w:t xml:space="preserve">Хэлэлцүүлгийн тэмдэглэл, засварласан загвар</w:t>
            </w:r>
          </w:p>
        </w:tc>
      </w:tr>
      <w:tr>
        <w:tc>
          <w:tcPr>
            <w:tcW w:w="3120" w:type="dxa"/>
          </w:tcPr>
          <w:p>
            <w:pPr/>
            <w:r>
              <w:t xml:space="preserve">6–7</w:t>
            </w:r>
          </w:p>
        </w:tc>
        <w:tc>
          <w:tcPr>
            <w:tcW w:w="3120" w:type="dxa"/>
          </w:tcPr>
          <w:p>
            <w:pPr/>
            <w:r>
              <w:t xml:space="preserve">2-р мөчлөг</w:t>
            </w:r>
          </w:p>
        </w:tc>
        <w:tc>
          <w:tcPr>
            <w:tcW w:w="3120" w:type="dxa"/>
          </w:tcPr>
          <w:p>
            <w:pPr/>
            <w:r>
              <w:t xml:space="preserve">Хэлэлцүүлгийн тэмдэглэл, засварласан загвар</w:t>
            </w:r>
          </w:p>
        </w:tc>
      </w:tr>
      <w:tr>
        <w:tc>
          <w:tcPr>
            <w:tcW w:w="3120" w:type="dxa"/>
          </w:tcPr>
          <w:p>
            <w:pPr/>
            <w:r>
              <w:t xml:space="preserve">8</w:t>
            </w:r>
          </w:p>
        </w:tc>
        <w:tc>
          <w:tcPr>
            <w:tcW w:w="3120" w:type="dxa"/>
          </w:tcPr>
          <w:p>
            <w:pPr/>
            <w:r>
              <w:t xml:space="preserve">3-р мөчлөг</w:t>
            </w:r>
          </w:p>
        </w:tc>
        <w:tc>
          <w:tcPr>
            <w:tcW w:w="3120" w:type="dxa"/>
          </w:tcPr>
          <w:p>
            <w:pPr/>
            <w:r>
              <w:t xml:space="preserve">Эцсийн загвар</w:t>
            </w:r>
          </w:p>
        </w:tc>
      </w:tr>
      <w:tr>
        <w:tc>
          <w:tcPr>
            <w:tcW w:w="3120" w:type="dxa"/>
          </w:tcPr>
          <w:p>
            <w:pPr/>
            <w:r>
              <w:t xml:space="preserve">9</w:t>
            </w:r>
          </w:p>
        </w:tc>
        <w:tc>
          <w:tcPr>
            <w:tcW w:w="3120" w:type="dxa"/>
          </w:tcPr>
          <w:p>
            <w:pPr/>
            <w:r>
              <w:t xml:space="preserve">Үр дүнгийн үнэлгээ, фокус бүлэг</w:t>
            </w:r>
          </w:p>
        </w:tc>
        <w:tc>
          <w:tcPr>
            <w:tcW w:w="3120" w:type="dxa"/>
          </w:tcPr>
          <w:p>
            <w:pPr/>
            <w:r>
              <w:t xml:space="preserve">Дараах өгөгдөл</w:t>
            </w:r>
          </w:p>
        </w:tc>
      </w:tr>
      <w:tr>
        <w:tc>
          <w:tcPr>
            <w:tcW w:w="3120" w:type="dxa"/>
          </w:tcPr>
          <w:p>
            <w:pPr/>
            <w:r>
              <w:t xml:space="preserve">10</w:t>
            </w:r>
          </w:p>
        </w:tc>
        <w:tc>
          <w:tcPr>
            <w:tcW w:w="3120" w:type="dxa"/>
          </w:tcPr>
          <w:p>
            <w:pPr/>
            <w:r>
              <w:t xml:space="preserve">Шинжилгээ, тайлан, зөвлөмж</w:t>
            </w:r>
          </w:p>
        </w:tc>
        <w:tc>
          <w:tcPr>
            <w:tcW w:w="3120" w:type="dxa"/>
          </w:tcPr>
          <w:p>
            <w:pPr/>
            <w:r>
              <w:t xml:space="preserve">Судалгааны тайлан, арга зүйн зөвлөмж</w:t>
            </w:r>
          </w:p>
        </w:tc>
      </w:tr>
    </w:tbl>
    <w:p>
      <w:pPr>
        <w:pStyle w:val="Heading2"/>
      </w:pPr>
      <w:r>
        <w:t xml:space="preserve">Хавсралт 2. Хиймэл оюунд хандах жишээ (багшид)</w:t>
      </w:r>
    </w:p>
    <w:p>
      <w:pPr>
        <w:pStyle w:val="ListParagraph"/>
        <w:numPr>
          <w:ilvl w:val="0"/>
          <w:numId w:val="16"/>
        </w:numPr>
      </w:pPr>
      <w:r>
        <w:rPr>
          <w:b/>
        </w:rPr>
        <w:t xml:space="preserve">Асуулт бэлтгэх:</w:t>
      </w:r>
      <w:r>
        <w:t xml:space="preserve"> “4–5 настай хүүхдэд усны ууршилтын тухай сонирхлыг өдөөх “Яагаад?” гэсэн 5 асуулт болон аюулгүй, цэцэрлэгийн ангид хийх боломжтой 2 туршилт санал болго. Энгийн үг хэрэглэ.”</w:t>
      </w:r>
    </w:p>
    <w:p>
      <w:pPr>
        <w:pStyle w:val="ListParagraph"/>
        <w:numPr>
          <w:ilvl w:val="0"/>
          <w:numId w:val="16"/>
        </w:numPr>
      </w:pPr>
      <w:r>
        <w:rPr>
          <w:b/>
        </w:rPr>
        <w:t xml:space="preserve">Ажиглалт нэгтгэх:</w:t>
      </w:r>
      <w:r>
        <w:t xml:space="preserve"> “Доорх нь кодлосон (Х-01, Х-02 гэх мэт) хүүхдийн ажиглалтын тэмдэглэл. Дараах рубрикийн дагуу хүүхэд бүрийн түвшинг санал болгож, шалтгааныг тэмдэглэлээс ишлэн бич.” (Хүүхдийн нэр оруулахгүй.)</w:t>
      </w:r>
    </w:p>
    <w:p>
      <w:pPr>
        <w:pStyle w:val="ListParagraph"/>
        <w:numPr>
          <w:ilvl w:val="0"/>
          <w:numId w:val="16"/>
        </w:numPr>
      </w:pPr>
      <w:r>
        <w:rPr>
          <w:b/>
        </w:rPr>
        <w:t xml:space="preserve">Эцэг эхэд зөвлөмж:</w:t>
      </w:r>
      <w:r>
        <w:t xml:space="preserve"> “Хүүхдүүд цэцэрлэгт усны ууршилтыг ажигласан. Эцэг эх гэртээ хүүхдээсээ асууж, хамтдаа хийх 3 энгийн үйл ажиллагааг богино, найрсаг хэлбэрээр бич.”</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1">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Шинжлэн судлахад суурилсан арга зүйг өгөгдөл, хиймэл оюунаар дэмжин сургуулийн ө</dc:title>
  <dc:description>Claude Docs node/035d1177-259a@10 docx-w6</dc:description>
  <cp:revision>10</cp:revision>
</cp:coreProperties>
</file>