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競合サービスの比較</w:t>
      </w:r>
    </w:p>
    <w:p>
      <w:r>
        <w:t xml:space="preserve">主要 3 社の料金と機能を、公開情報と体験版で確かめました。</w:t>
      </w:r>
      <w:r>
        <w:rPr>
          <w:b/>
        </w:rPr>
        <w:t xml:space="preserve">差が大きいのは同時接続数の上限</w:t>
      </w:r>
      <w:r>
        <w:t xml:space="preserve">で、価格差はそれほどありません。</w:t>
      </w:r>
    </w:p>
    <w:p>
      <w:r>
        <w:t xml:space="preserve">体験版で同じ操作を流して応答時間を測り、営業への問い合わせで料金改定の予定も聞きました。</w:t>
      </w:r>
    </w:p>
    <w:p>
      <w:pPr>
        <w:pStyle w:val="Heading2"/>
      </w:pPr>
      <w:r>
        <w:t xml:space="preserve">確かめたこと</w:t>
      </w:r>
    </w:p>
    <w:p>
      <w:pPr>
        <w:pStyle w:val="ListParagraph"/>
        <w:numPr>
          <w:ilvl w:val="0"/>
          <w:numId w:val="1"/>
        </w:numPr>
      </w:pPr>
      <w:r>
        <w:t xml:space="preserve">料金と無料枠の有無</w:t>
      </w:r>
    </w:p>
    <w:p>
      <w:pPr>
        <w:pStyle w:val="ListParagraph"/>
        <w:numPr>
          <w:ilvl w:val="0"/>
          <w:numId w:val="1"/>
        </w:numPr>
      </w:pPr>
      <w:r>
        <w:t xml:space="preserve">同時接続の上限</w:t>
      </w:r>
    </w:p>
    <w:p>
      <w:pPr>
        <w:pStyle w:val="ListParagraph"/>
        <w:numPr>
          <w:ilvl w:val="0"/>
          <w:numId w:val="1"/>
        </w:numPr>
      </w:pPr>
      <w:r>
        <w:t xml:space="preserve">サポートの応答時間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サービス</w:t>
            </w:r>
          </w:p>
        </w:tc>
        <w:tc>
          <w:tcPr>
            <w:tcW w:w="3000" w:type="dxa"/>
          </w:tcPr>
          <w:p>
            <w:r>
              <w:t xml:space="preserve">月額</w:t>
            </w:r>
          </w:p>
        </w:tc>
        <w:tc>
          <w:tcPr>
            <w:tcW w:w="3000" w:type="dxa"/>
          </w:tcPr>
          <w:p>
            <w:r>
              <w:t xml:space="preserve">同時接続</w:t>
            </w:r>
          </w:p>
        </w:tc>
      </w:tr>
      <w:tr>
        <w:tc>
          <w:tcPr>
            <w:tcW w:w="3000" w:type="dxa"/>
          </w:tcPr>
          <w:p>
            <w:r>
              <w:t xml:space="preserve">A</w:t>
            </w:r>
          </w:p>
        </w:tc>
        <w:tc>
          <w:tcPr>
            <w:tcW w:w="3000" w:type="dxa"/>
          </w:tcPr>
          <w:p>
            <w:r>
              <w:t xml:space="preserve">$20</w:t>
            </w:r>
          </w:p>
        </w:tc>
        <w:tc>
          <w:tcPr>
            <w:tcW w:w="3000" w:type="dxa"/>
          </w:tcPr>
          <w:p>
            <w:r>
              <w:t xml:space="preserve">5</w:t>
            </w:r>
          </w:p>
        </w:tc>
      </w:tr>
      <w:tr>
        <w:tc>
          <w:tcPr>
            <w:tcW w:w="3000" w:type="dxa"/>
          </w:tcPr>
          <w:p>
            <w:r>
              <w:t xml:space="preserve">B</w:t>
            </w:r>
          </w:p>
        </w:tc>
        <w:tc>
          <w:tcPr>
            <w:tcW w:w="3000" w:type="dxa"/>
          </w:tcPr>
          <w:p>
            <w:r>
              <w:t xml:space="preserve">$35</w:t>
            </w:r>
          </w:p>
        </w:tc>
        <w:tc>
          <w:tcPr>
            <w:tcW w:w="3000" w:type="dxa"/>
          </w:tcPr>
          <w:p>
            <w:r>
              <w:t xml:space="preserve">20</w:t>
            </w:r>
          </w:p>
        </w:tc>
      </w:tr>
    </w:tbl>
    <w:p>
      <w:r>
        <w:t xml:space="preserve"/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