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left"/>
      </w:pPr>
      <w:r>
        <w:rPr>
          <w:rFonts w:ascii="Times New Roman" w:cs="Times New Roman" w:eastAsia="Times New Roman" w:hAnsi="Times New Roman"/>
          <w:b/>
          <w:bCs/>
          <w:i w:val="false"/>
          <w:iCs w:val="false"/>
          <w:sz w:val="22"/>
          <w:szCs w:val="22"/>
        </w:rPr>
        <w:t xml:space="preserve">SIA “UEC Sistēmas”</w:t>
      </w:r>
    </w:p>
    <w:p>
      <w:pPr>
        <w:spacing w:after="0" w:before="0" w:line="300"/>
        <w:jc w:val="left"/>
      </w:pPr>
      <w:r>
        <w:rPr>
          <w:rFonts w:ascii="Times New Roman" w:cs="Times New Roman" w:eastAsia="Times New Roman" w:hAnsi="Times New Roman"/>
          <w:b w:val="false"/>
          <w:bCs w:val="false"/>
          <w:i w:val="false"/>
          <w:iCs w:val="false"/>
          <w:sz w:val="22"/>
          <w:szCs w:val="22"/>
        </w:rPr>
        <w:t xml:space="preserve">Vienotais reģistrācijas Nr. 42103092124</w:t>
      </w:r>
    </w:p>
    <w:p>
      <w:pPr>
        <w:spacing w:after="0" w:before="0" w:line="300"/>
        <w:jc w:val="left"/>
      </w:pPr>
      <w:r>
        <w:rPr>
          <w:rFonts w:ascii="Times New Roman" w:cs="Times New Roman" w:eastAsia="Times New Roman" w:hAnsi="Times New Roman"/>
          <w:b w:val="false"/>
          <w:bCs w:val="false"/>
          <w:i w:val="false"/>
          <w:iCs w:val="false"/>
          <w:sz w:val="22"/>
          <w:szCs w:val="22"/>
        </w:rPr>
        <w:t xml:space="preserve">E-pasts: janis.liepins@uecsistemas.lv</w:t>
      </w:r>
    </w:p>
    <w:p>
      <w:pPr>
        <w:spacing w:after="240" w:before="0" w:line="300"/>
        <w:jc w:val="left"/>
      </w:pPr>
      <w:r>
        <w:rPr>
          <w:rFonts w:ascii="Times New Roman" w:cs="Times New Roman" w:eastAsia="Times New Roman" w:hAnsi="Times New Roman"/>
          <w:b w:val="false"/>
          <w:bCs w:val="false"/>
          <w:i w:val="false"/>
          <w:iCs w:val="false"/>
          <w:sz w:val="22"/>
          <w:szCs w:val="22"/>
        </w:rPr>
        <w:t xml:space="preserve">Tālr.: +371 26 521 145</w:t>
      </w:r>
    </w:p>
    <w:p>
      <w:pPr>
        <w:spacing w:after="0" w:before="0" w:line="300"/>
        <w:jc w:val="left"/>
      </w:pPr>
      <w:r>
        <w:rPr>
          <w:rFonts w:ascii="Times New Roman" w:cs="Times New Roman" w:eastAsia="Times New Roman" w:hAnsi="Times New Roman"/>
          <w:b/>
          <w:bCs/>
          <w:i w:val="false"/>
          <w:iCs w:val="false"/>
          <w:sz w:val="22"/>
          <w:szCs w:val="22"/>
        </w:rPr>
        <w:t xml:space="preserve">RP SIA “Rīgas satiksme”</w:t>
      </w:r>
    </w:p>
    <w:p>
      <w:pPr>
        <w:spacing w:after="0" w:before="0" w:line="300"/>
        <w:jc w:val="left"/>
      </w:pPr>
      <w:r>
        <w:rPr>
          <w:rFonts w:ascii="Times New Roman" w:cs="Times New Roman" w:eastAsia="Times New Roman" w:hAnsi="Times New Roman"/>
          <w:b w:val="false"/>
          <w:bCs w:val="false"/>
          <w:i w:val="false"/>
          <w:iCs w:val="false"/>
          <w:sz w:val="22"/>
          <w:szCs w:val="22"/>
        </w:rPr>
        <w:t xml:space="preserve">Valdes priekšsēdētājai Dž. Innusas kundzei</w:t>
      </w:r>
    </w:p>
    <w:p>
      <w:pPr>
        <w:spacing w:after="0" w:before="0" w:line="300"/>
        <w:jc w:val="left"/>
      </w:pPr>
      <w:r>
        <w:rPr>
          <w:rFonts w:ascii="Times New Roman" w:cs="Times New Roman" w:eastAsia="Times New Roman" w:hAnsi="Times New Roman"/>
          <w:b w:val="false"/>
          <w:bCs w:val="false"/>
          <w:i w:val="false"/>
          <w:iCs w:val="false"/>
          <w:sz w:val="22"/>
          <w:szCs w:val="22"/>
        </w:rPr>
        <w:t xml:space="preserve">Kleistu iela 28, Rīga, LV-1067</w:t>
      </w:r>
    </w:p>
    <w:p>
      <w:pPr>
        <w:spacing w:after="360" w:before="0" w:line="300"/>
        <w:jc w:val="left"/>
      </w:pPr>
      <w:r>
        <w:rPr>
          <w:rFonts w:ascii="Times New Roman" w:cs="Times New Roman" w:eastAsia="Times New Roman" w:hAnsi="Times New Roman"/>
          <w:b w:val="false"/>
          <w:bCs w:val="false"/>
          <w:i w:val="false"/>
          <w:iCs w:val="false"/>
          <w:sz w:val="22"/>
          <w:szCs w:val="22"/>
        </w:rPr>
        <w:t xml:space="preserve">Kopija: agnese.mengele@rigassatiksme.lv</w:t>
      </w:r>
    </w:p>
    <w:p>
      <w:pPr>
        <w:spacing w:after="240" w:before="0" w:line="300"/>
        <w:jc w:val="right"/>
      </w:pPr>
      <w:r>
        <w:rPr>
          <w:rFonts w:ascii="Times New Roman" w:cs="Times New Roman" w:eastAsia="Times New Roman" w:hAnsi="Times New Roman"/>
          <w:b w:val="false"/>
          <w:bCs w:val="false"/>
          <w:i w:val="false"/>
          <w:iCs w:val="false"/>
          <w:sz w:val="22"/>
          <w:szCs w:val="22"/>
        </w:rPr>
        <w:t xml:space="preserve">Rīgā, 2026. gada ___. aprīlī</w:t>
      </w:r>
    </w:p>
    <w:p>
      <w:pPr>
        <w:spacing w:after="360" w:before="0" w:line="300"/>
        <w:jc w:val="left"/>
      </w:pPr>
      <w:r>
        <w:rPr>
          <w:rFonts w:ascii="Times New Roman" w:cs="Times New Roman" w:eastAsia="Times New Roman" w:hAnsi="Times New Roman"/>
          <w:b/>
          <w:bCs/>
          <w:i w:val="false"/>
          <w:iCs w:val="false"/>
          <w:sz w:val="22"/>
          <w:szCs w:val="22"/>
        </w:rPr>
        <w:t xml:space="preserve">Par: </w:t>
      </w:r>
      <w:r>
        <w:rPr>
          <w:rFonts w:ascii="Times New Roman" w:cs="Times New Roman" w:eastAsia="Times New Roman" w:hAnsi="Times New Roman"/>
          <w:b/>
          <w:bCs/>
          <w:i w:val="false"/>
          <w:iCs w:val="false"/>
          <w:sz w:val="22"/>
          <w:szCs w:val="22"/>
        </w:rPr>
        <w:t xml:space="preserve">Atbildi uz 2026. gada aprīļa vēstuli par līgumu Nr. LIG-IEP/2025/172 un Nr. LIG-IEP/2025/173 izpildi un aprēķinātajiem zaudējumiem EUR 2520,15 apmērā</w:t>
      </w:r>
    </w:p>
    <w:p>
      <w:pPr>
        <w:spacing w:after="180" w:before="0" w:line="300"/>
        <w:jc w:val="left"/>
      </w:pPr>
      <w:r>
        <w:rPr>
          <w:rFonts w:ascii="Times New Roman" w:cs="Times New Roman" w:eastAsia="Times New Roman" w:hAnsi="Times New Roman"/>
          <w:b w:val="false"/>
          <w:bCs w:val="false"/>
          <w:i w:val="false"/>
          <w:iCs w:val="false"/>
          <w:sz w:val="22"/>
          <w:szCs w:val="22"/>
        </w:rPr>
        <w:t xml:space="preserve">Godājamā Innusas kundze,</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SIA “UEC Sistēmas” (turpmāk – </w:t>
      </w:r>
      <w:r>
        <w:rPr>
          <w:rFonts w:ascii="Times New Roman" w:cs="Times New Roman" w:eastAsia="Times New Roman" w:hAnsi="Times New Roman"/>
          <w:b/>
          <w:bCs/>
          <w:i w:val="false"/>
          <w:iCs w:val="false"/>
          <w:sz w:val="22"/>
          <w:szCs w:val="22"/>
        </w:rPr>
        <w:t xml:space="preserve">Izpildītājs</w:t>
      </w:r>
      <w:r>
        <w:rPr>
          <w:rFonts w:ascii="Times New Roman" w:cs="Times New Roman" w:eastAsia="Times New Roman" w:hAnsi="Times New Roman"/>
          <w:b w:val="false"/>
          <w:bCs w:val="false"/>
          <w:i w:val="false"/>
          <w:iCs w:val="false"/>
          <w:sz w:val="22"/>
          <w:szCs w:val="22"/>
        </w:rPr>
        <w:t xml:space="preserve">) ir saņēmusi RP SIA “Rīgas satiksme” (turpmāk – </w:t>
      </w:r>
      <w:r>
        <w:rPr>
          <w:rFonts w:ascii="Times New Roman" w:cs="Times New Roman" w:eastAsia="Times New Roman" w:hAnsi="Times New Roman"/>
          <w:b/>
          <w:bCs/>
          <w:i w:val="false"/>
          <w:iCs w:val="false"/>
          <w:sz w:val="22"/>
          <w:szCs w:val="22"/>
        </w:rPr>
        <w:t xml:space="preserve">Pasūtītājs</w:t>
      </w:r>
      <w:r>
        <w:rPr>
          <w:rFonts w:ascii="Times New Roman" w:cs="Times New Roman" w:eastAsia="Times New Roman" w:hAnsi="Times New Roman"/>
          <w:b w:val="false"/>
          <w:bCs w:val="false"/>
          <w:i w:val="false"/>
          <w:iCs w:val="false"/>
          <w:sz w:val="22"/>
          <w:szCs w:val="22"/>
        </w:rPr>
        <w:t xml:space="preserve">) 2026. gada aprīļa vēstuli, kurā Pasūtītājs informē par aprēķinātajiem zaudējumiem EUR 2520,15 apmērā saistībā ar līgumu Nr. LIG-IEP/2025/172 un Nr. LIG-IEP/2025/173 (turpmāk – </w:t>
      </w:r>
      <w:r>
        <w:rPr>
          <w:rFonts w:ascii="Times New Roman" w:cs="Times New Roman" w:eastAsia="Times New Roman" w:hAnsi="Times New Roman"/>
          <w:b/>
          <w:bCs/>
          <w:i w:val="false"/>
          <w:iCs w:val="false"/>
          <w:sz w:val="22"/>
          <w:szCs w:val="22"/>
        </w:rPr>
        <w:t xml:space="preserve">Līgumi</w:t>
      </w:r>
      <w:r>
        <w:rPr>
          <w:rFonts w:ascii="Times New Roman" w:cs="Times New Roman" w:eastAsia="Times New Roman" w:hAnsi="Times New Roman"/>
          <w:b w:val="false"/>
          <w:bCs w:val="false"/>
          <w:i w:val="false"/>
          <w:iCs w:val="false"/>
          <w:sz w:val="22"/>
          <w:szCs w:val="22"/>
        </w:rPr>
        <w:t xml:space="preserve">) izpildi.</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Izpildītājs ar cieņu </w:t>
      </w:r>
      <w:r>
        <w:rPr>
          <w:rFonts w:ascii="Times New Roman" w:cs="Times New Roman" w:eastAsia="Times New Roman" w:hAnsi="Times New Roman"/>
          <w:b/>
          <w:bCs/>
          <w:i w:val="false"/>
          <w:iCs w:val="false"/>
          <w:sz w:val="22"/>
          <w:szCs w:val="22"/>
        </w:rPr>
        <w:t xml:space="preserve">nepiekrīt</w:t>
      </w:r>
      <w:r>
        <w:rPr>
          <w:rFonts w:ascii="Times New Roman" w:cs="Times New Roman" w:eastAsia="Times New Roman" w:hAnsi="Times New Roman"/>
          <w:b w:val="false"/>
          <w:bCs w:val="false"/>
          <w:i w:val="false"/>
          <w:iCs w:val="false"/>
          <w:sz w:val="22"/>
          <w:szCs w:val="22"/>
        </w:rPr>
        <w:t xml:space="preserve"> Pasūtītāja aprēķinātajai zaudējumu summai un tās pamatojumam turpmāk minēto iemeslu dēļ.</w:t>
      </w:r>
    </w:p>
    <w:p>
      <w:pPr>
        <w:spacing w:after="120" w:before="240" w:line="300"/>
      </w:pPr>
      <w:r>
        <w:rPr>
          <w:rFonts w:ascii="Times New Roman" w:cs="Times New Roman" w:eastAsia="Times New Roman" w:hAnsi="Times New Roman"/>
          <w:b/>
          <w:bCs/>
          <w:sz w:val="24"/>
          <w:szCs w:val="24"/>
        </w:rPr>
        <w:t xml:space="preserve">1. Par faktiskajiem apstākļiem – invertori ir ražojuši elektroenerģiju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Pretēji vēstulē norādītajam, abās adresēs (</w:t>
      </w:r>
      <w:r>
        <w:rPr>
          <w:rFonts w:ascii="Times New Roman" w:cs="Times New Roman" w:eastAsia="Times New Roman" w:hAnsi="Times New Roman"/>
          <w:b/>
          <w:bCs/>
          <w:i w:val="false"/>
          <w:iCs w:val="false"/>
          <w:sz w:val="22"/>
          <w:szCs w:val="22"/>
        </w:rPr>
        <w:t xml:space="preserve">Vestienas ielā 35</w:t>
      </w:r>
      <w:r>
        <w:rPr>
          <w:rFonts w:ascii="Times New Roman" w:cs="Times New Roman" w:eastAsia="Times New Roman" w:hAnsi="Times New Roman"/>
          <w:b w:val="false"/>
          <w:bCs w:val="false"/>
          <w:i w:val="false"/>
          <w:iCs w:val="false"/>
          <w:sz w:val="22"/>
          <w:szCs w:val="22"/>
        </w:rPr>
        <w:t xml:space="preserve"> un </w:t>
      </w:r>
      <w:r>
        <w:rPr>
          <w:rFonts w:ascii="Times New Roman" w:cs="Times New Roman" w:eastAsia="Times New Roman" w:hAnsi="Times New Roman"/>
          <w:b/>
          <w:bCs/>
          <w:i w:val="false"/>
          <w:iCs w:val="false"/>
          <w:sz w:val="22"/>
          <w:szCs w:val="22"/>
        </w:rPr>
        <w:t xml:space="preserve">Brīvības ielā 191, Rīgā</w:t>
      </w:r>
      <w:r>
        <w:rPr>
          <w:rFonts w:ascii="Times New Roman" w:cs="Times New Roman" w:eastAsia="Times New Roman" w:hAnsi="Times New Roman"/>
          <w:b w:val="false"/>
          <w:bCs w:val="false"/>
          <w:i w:val="false"/>
          <w:iCs w:val="false"/>
          <w:sz w:val="22"/>
          <w:szCs w:val="22"/>
        </w:rPr>
        <w:t xml:space="preserve">) uzstādītās saules elektrostacijas invertori darbojas un ir ražojuši elektroenerģiju kopš 2026. gada janvāra. Tas attiecīgi samazina Pasūtītāja no ārējiem piegādātājiem iepirkto elektroenerģijas apjomu un izmaksas jau kopš minētā brīža.</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Apstāklis, ka objekts formāli nav nodots ar abpusēji parakstītu Darbu pieņemšanas un nodošanas aktu (Līgumu 4. pielikums), neatspēko faktu, ka </w:t>
      </w:r>
      <w:r>
        <w:rPr>
          <w:rFonts w:ascii="Times New Roman" w:cs="Times New Roman" w:eastAsia="Times New Roman" w:hAnsi="Times New Roman"/>
          <w:b/>
          <w:bCs/>
          <w:i w:val="false"/>
          <w:iCs w:val="false"/>
          <w:sz w:val="22"/>
          <w:szCs w:val="22"/>
        </w:rPr>
        <w:t xml:space="preserve">Pasūtītājs jau faktiski saņem Līguma priekšmeta sniegto ekonomisko labumu</w:t>
      </w:r>
      <w:r>
        <w:rPr>
          <w:rFonts w:ascii="Times New Roman" w:cs="Times New Roman" w:eastAsia="Times New Roman" w:hAnsi="Times New Roman"/>
          <w:b w:val="false"/>
          <w:bCs w:val="false"/>
          <w:i w:val="false"/>
          <w:iCs w:val="false"/>
          <w:sz w:val="22"/>
          <w:szCs w:val="22"/>
        </w:rPr>
        <w:t xml:space="preserve"> – elektroenerģiju pašpatēriņam.</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Izpildītāja puses pārstāvji atkārtoti informēja Pasūtītāja darbiniekus par to, ka invertori darbojas un ražo elektroenerģiju; atlikušās atklātās nepilnības (tostarp attālinātās monitoringa datu pārraides izveide un atsevišķi blakus konstatētie trūkumi) </w:t>
      </w:r>
      <w:r>
        <w:rPr>
          <w:rFonts w:ascii="Times New Roman" w:cs="Times New Roman" w:eastAsia="Times New Roman" w:hAnsi="Times New Roman"/>
          <w:b/>
          <w:bCs/>
          <w:i w:val="false"/>
          <w:iCs w:val="false"/>
          <w:sz w:val="22"/>
          <w:szCs w:val="22"/>
        </w:rPr>
        <w:t xml:space="preserve">neietekmēja invertoru darbības spēju un faktisko elektroenerģijas ražošanu</w:t>
      </w:r>
      <w:r>
        <w:rPr>
          <w:rFonts w:ascii="Times New Roman" w:cs="Times New Roman" w:eastAsia="Times New Roman" w:hAnsi="Times New Roman"/>
          <w:b w:val="false"/>
          <w:bCs w:val="false"/>
          <w:i w:val="false"/>
          <w:iCs w:val="false"/>
          <w:sz w:val="22"/>
          <w:szCs w:val="22"/>
        </w:rPr>
        <w:t xml:space="preserve">.</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Līdz ar to Pasūtītāja aprēķinā par periodu 2026. gada janvāris, februāris un marts norādītā “neražotā elektroenerģija” (177 + 482 + 12 471 = 13 130 kWh jeb EUR 1677,80 no kopējās prasītās summas) </w:t>
      </w:r>
      <w:r>
        <w:rPr>
          <w:rFonts w:ascii="Times New Roman" w:cs="Times New Roman" w:eastAsia="Times New Roman" w:hAnsi="Times New Roman"/>
          <w:b/>
          <w:bCs/>
          <w:i w:val="false"/>
          <w:iCs w:val="false"/>
          <w:sz w:val="22"/>
          <w:szCs w:val="22"/>
        </w:rPr>
        <w:t xml:space="preserve">neatbilst faktiskajai situācijai</w:t>
      </w:r>
      <w:r>
        <w:rPr>
          <w:rFonts w:ascii="Times New Roman" w:cs="Times New Roman" w:eastAsia="Times New Roman" w:hAnsi="Times New Roman"/>
          <w:b w:val="false"/>
          <w:bCs w:val="false"/>
          <w:i w:val="false"/>
          <w:iCs w:val="false"/>
          <w:sz w:val="22"/>
          <w:szCs w:val="22"/>
        </w:rPr>
        <w:t xml:space="preserve"> un nevar tikt uzskatīta par Izpildītāja rīcības rezultātā radītiem zaudējumiem.</w:t>
      </w:r>
    </w:p>
    <w:p>
      <w:pPr>
        <w:spacing w:after="120" w:before="240" w:line="300"/>
      </w:pPr>
      <w:r>
        <w:rPr>
          <w:rFonts w:ascii="Times New Roman" w:cs="Times New Roman" w:eastAsia="Times New Roman" w:hAnsi="Times New Roman"/>
          <w:b/>
          <w:bCs/>
          <w:sz w:val="24"/>
          <w:szCs w:val="24"/>
        </w:rPr>
        <w:t xml:space="preserve">2. Par zaudējumu aprēķina metodoloģiju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Pasūtītājs vēstulē pats norāda, ka zaudējumi ir aprēķināti, balstoties uz citu, jau uzstādītu līdzvērtīgas jaudas elektrostaciju saražotās elektroenerģijas apmēru, nevis uz faktiskiem mērījumiem konkrētajos objektos.</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Saskaņā ar </w:t>
      </w:r>
      <w:r>
        <w:rPr>
          <w:rFonts w:ascii="Times New Roman" w:cs="Times New Roman" w:eastAsia="Times New Roman" w:hAnsi="Times New Roman"/>
          <w:b/>
          <w:bCs/>
          <w:i w:val="false"/>
          <w:iCs w:val="false"/>
          <w:sz w:val="22"/>
          <w:szCs w:val="22"/>
        </w:rPr>
        <w:t xml:space="preserve">Civillikuma 1770. pantu</w:t>
      </w:r>
      <w:r>
        <w:rPr>
          <w:rFonts w:ascii="Times New Roman" w:cs="Times New Roman" w:eastAsia="Times New Roman" w:hAnsi="Times New Roman"/>
          <w:b w:val="false"/>
          <w:bCs w:val="false"/>
          <w:i w:val="false"/>
          <w:iCs w:val="false"/>
          <w:sz w:val="22"/>
          <w:szCs w:val="22"/>
        </w:rPr>
        <w:t xml:space="preserve"> zaudējums ir katrs mantiski novērtējams pametums, un saskaņā ar </w:t>
      </w:r>
      <w:r>
        <w:rPr>
          <w:rFonts w:ascii="Times New Roman" w:cs="Times New Roman" w:eastAsia="Times New Roman" w:hAnsi="Times New Roman"/>
          <w:b/>
          <w:bCs/>
          <w:i w:val="false"/>
          <w:iCs w:val="false"/>
          <w:sz w:val="22"/>
          <w:szCs w:val="22"/>
        </w:rPr>
        <w:t xml:space="preserve">Civillikuma 1779. pantu</w:t>
      </w:r>
      <w:r>
        <w:rPr>
          <w:rFonts w:ascii="Times New Roman" w:cs="Times New Roman" w:eastAsia="Times New Roman" w:hAnsi="Times New Roman"/>
          <w:b w:val="false"/>
          <w:bCs w:val="false"/>
          <w:i w:val="false"/>
          <w:iCs w:val="false"/>
          <w:sz w:val="22"/>
          <w:szCs w:val="22"/>
        </w:rPr>
        <w:t xml:space="preserve"> zaudējumi ir atlīdzināmi tikai tad, ja tie ir tiešā cēloniskā sakarā ar vainojamu rīcību vai bezdarbību un ir pienācīgi pierādīti. Pierādīšanas pienākums gulstas uz to Pusi, kas prasa zaudējumu atlīdzību (</w:t>
      </w:r>
      <w:r>
        <w:rPr>
          <w:rFonts w:ascii="Times New Roman" w:cs="Times New Roman" w:eastAsia="Times New Roman" w:hAnsi="Times New Roman"/>
          <w:b/>
          <w:bCs/>
          <w:i w:val="false"/>
          <w:iCs w:val="false"/>
          <w:sz w:val="22"/>
          <w:szCs w:val="22"/>
        </w:rPr>
        <w:t xml:space="preserve">Civilprocesa likuma 93. pants</w:t>
      </w:r>
      <w:r>
        <w:rPr>
          <w:rFonts w:ascii="Times New Roman" w:cs="Times New Roman" w:eastAsia="Times New Roman" w:hAnsi="Times New Roman"/>
          <w:b w:val="false"/>
          <w:bCs w:val="false"/>
          <w:i w:val="false"/>
          <w:iCs w:val="false"/>
          <w:sz w:val="22"/>
          <w:szCs w:val="22"/>
        </w:rPr>
        <w:t xml:space="preserve">).</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Aprēķins, kas balstīts uz pieņēmumu par “iespējamo ražošanu” pie citiem objektiem, nav uzskatāms par pierādītiem faktiskiem zaudējumiem – tas ir hipotētisks atrautās peļņas aprēķins, kas prasa ievērojami augstāku pierādīšanas standartu. Pasūtītājs nav iesniedzis:</w:t>
      </w:r>
    </w:p>
    <w:p>
      <w:pPr>
        <w:pStyle w:val="ListParagraph"/>
        <w:numPr>
          <w:ilvl w:val="0"/>
          <w:numId w:val="2"/>
        </w:numPr>
        <w:spacing w:after="80" w:line="300"/>
        <w:jc w:val="both"/>
      </w:pPr>
      <w:r>
        <w:rPr>
          <w:rFonts w:ascii="Times New Roman" w:cs="Times New Roman" w:eastAsia="Times New Roman" w:hAnsi="Times New Roman"/>
          <w:sz w:val="22"/>
          <w:szCs w:val="22"/>
        </w:rPr>
        <w:t xml:space="preserve">objektu tehnisko salīdzināmību apliecinošus datus (jumta orientācija, slīpums, ēnojums, kopējā uzstādītā jauda, invertoru specifikācija);</w:t>
      </w:r>
    </w:p>
    <w:p>
      <w:pPr>
        <w:pStyle w:val="ListParagraph"/>
        <w:numPr>
          <w:ilvl w:val="0"/>
          <w:numId w:val="2"/>
        </w:numPr>
        <w:spacing w:after="80" w:line="300"/>
        <w:jc w:val="both"/>
      </w:pPr>
      <w:r>
        <w:rPr>
          <w:rFonts w:ascii="Times New Roman" w:cs="Times New Roman" w:eastAsia="Times New Roman" w:hAnsi="Times New Roman"/>
          <w:sz w:val="22"/>
          <w:szCs w:val="22"/>
        </w:rPr>
        <w:t xml:space="preserve">faktisko meteoroloģisko apstākļu korekciju attiecīgajā periodā;</w:t>
      </w:r>
    </w:p>
    <w:p>
      <w:pPr>
        <w:pStyle w:val="ListParagraph"/>
        <w:numPr>
          <w:ilvl w:val="0"/>
          <w:numId w:val="2"/>
        </w:numPr>
        <w:spacing w:after="80" w:line="300"/>
        <w:jc w:val="both"/>
      </w:pPr>
      <w:r>
        <w:rPr>
          <w:rFonts w:ascii="Times New Roman" w:cs="Times New Roman" w:eastAsia="Times New Roman" w:hAnsi="Times New Roman"/>
          <w:sz w:val="22"/>
          <w:szCs w:val="22"/>
        </w:rPr>
        <w:t xml:space="preserve">aprēķina pamatā esošos dokumentus, kurus Izpildītājs varētu pārbaudīt.</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Šādos apstākļos aprēķinu nav iespējams uzskatīt par tiesiski pamatotu.</w:t>
      </w:r>
    </w:p>
    <w:p>
      <w:pPr>
        <w:spacing w:after="120" w:before="240" w:line="300"/>
      </w:pPr>
      <w:r>
        <w:rPr>
          <w:rFonts w:ascii="Times New Roman" w:cs="Times New Roman" w:eastAsia="Times New Roman" w:hAnsi="Times New Roman"/>
          <w:b/>
          <w:bCs/>
          <w:sz w:val="24"/>
          <w:szCs w:val="24"/>
        </w:rPr>
        <w:t xml:space="preserve">3. Par kavējuma iemesliem un Pušu sadarbības pienākumu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Atgādinām, ka saskaņā ar Līgumu </w:t>
      </w:r>
      <w:r>
        <w:rPr>
          <w:rFonts w:ascii="Times New Roman" w:cs="Times New Roman" w:eastAsia="Times New Roman" w:hAnsi="Times New Roman"/>
          <w:b/>
          <w:bCs/>
          <w:i w:val="false"/>
          <w:iCs w:val="false"/>
          <w:sz w:val="22"/>
          <w:szCs w:val="22"/>
        </w:rPr>
        <w:t xml:space="preserve">8. nodaļu (Kavējumi un termiņu pagarinājumi)</w:t>
      </w:r>
      <w:r>
        <w:rPr>
          <w:rFonts w:ascii="Times New Roman" w:cs="Times New Roman" w:eastAsia="Times New Roman" w:hAnsi="Times New Roman"/>
          <w:b w:val="false"/>
          <w:bCs w:val="false"/>
          <w:i w:val="false"/>
          <w:iCs w:val="false"/>
          <w:sz w:val="22"/>
          <w:szCs w:val="22"/>
        </w:rPr>
        <w:t xml:space="preserve"> Pusēm ir pienākums savstarpēji saskaņot rīcību kavējumu gadījumā, un Pasūtītājam ir pienākums izskatīt Izpildītāja iesniegtos paskaidrojumus noteiktā termiņā.</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Izpildītājs ir gatavs iesniegt detalizētu pārskatu par faktiskajiem kavējuma iemesliem, tostarp par apstākļiem, kas </w:t>
      </w:r>
      <w:r>
        <w:rPr>
          <w:rFonts w:ascii="Times New Roman" w:cs="Times New Roman" w:eastAsia="Times New Roman" w:hAnsi="Times New Roman"/>
          <w:b/>
          <w:bCs/>
          <w:i w:val="false"/>
          <w:iCs w:val="false"/>
          <w:sz w:val="22"/>
          <w:szCs w:val="22"/>
        </w:rPr>
        <w:t xml:space="preserve">nebija atkarīgi vienīgi no Izpildītāja</w:t>
      </w:r>
      <w:r>
        <w:rPr>
          <w:rFonts w:ascii="Times New Roman" w:cs="Times New Roman" w:eastAsia="Times New Roman" w:hAnsi="Times New Roman"/>
          <w:b w:val="false"/>
          <w:bCs w:val="false"/>
          <w:i w:val="false"/>
          <w:iCs w:val="false"/>
          <w:sz w:val="22"/>
          <w:szCs w:val="22"/>
        </w:rPr>
        <w:t xml:space="preserve">, piemēram:</w:t>
      </w:r>
    </w:p>
    <w:p>
      <w:pPr>
        <w:pStyle w:val="ListParagraph"/>
        <w:numPr>
          <w:ilvl w:val="0"/>
          <w:numId w:val="2"/>
        </w:numPr>
        <w:spacing w:after="80" w:line="300"/>
        <w:jc w:val="both"/>
      </w:pPr>
      <w:r>
        <w:rPr>
          <w:rFonts w:ascii="Times New Roman" w:cs="Times New Roman" w:eastAsia="Times New Roman" w:hAnsi="Times New Roman"/>
          <w:sz w:val="22"/>
          <w:szCs w:val="22"/>
        </w:rPr>
        <w:t xml:space="preserve">piekļuves un saskaņošanas jautājumi Objektos;</w:t>
      </w:r>
    </w:p>
    <w:p>
      <w:pPr>
        <w:pStyle w:val="ListParagraph"/>
        <w:numPr>
          <w:ilvl w:val="0"/>
          <w:numId w:val="2"/>
        </w:numPr>
        <w:spacing w:after="80" w:line="300"/>
        <w:jc w:val="both"/>
      </w:pPr>
      <w:r>
        <w:rPr>
          <w:rFonts w:ascii="Times New Roman" w:cs="Times New Roman" w:eastAsia="Times New Roman" w:hAnsi="Times New Roman"/>
          <w:sz w:val="22"/>
          <w:szCs w:val="22"/>
        </w:rPr>
        <w:t xml:space="preserve">tehnisko pieslēgumu un trešo personu (t.sk. sadales tīkla operatora) procedūru ilgums;</w:t>
      </w:r>
    </w:p>
    <w:p>
      <w:pPr>
        <w:pStyle w:val="ListParagraph"/>
        <w:numPr>
          <w:ilvl w:val="0"/>
          <w:numId w:val="2"/>
        </w:numPr>
        <w:spacing w:after="80" w:line="300"/>
        <w:jc w:val="both"/>
      </w:pPr>
      <w:r>
        <w:rPr>
          <w:rFonts w:ascii="Times New Roman" w:cs="Times New Roman" w:eastAsia="Times New Roman" w:hAnsi="Times New Roman"/>
          <w:sz w:val="22"/>
          <w:szCs w:val="22"/>
        </w:rPr>
        <w:t xml:space="preserve">blakus konstatētie trūkumi, par kuriem Puses komunicēja darba kārtībā.</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Saskaņā ar </w:t>
      </w:r>
      <w:r>
        <w:rPr>
          <w:rFonts w:ascii="Times New Roman" w:cs="Times New Roman" w:eastAsia="Times New Roman" w:hAnsi="Times New Roman"/>
          <w:b/>
          <w:bCs/>
          <w:i w:val="false"/>
          <w:iCs w:val="false"/>
          <w:sz w:val="22"/>
          <w:szCs w:val="22"/>
        </w:rPr>
        <w:t xml:space="preserve">Civillikuma 1587. un 1588. pantu</w:t>
      </w:r>
      <w:r>
        <w:rPr>
          <w:rFonts w:ascii="Times New Roman" w:cs="Times New Roman" w:eastAsia="Times New Roman" w:hAnsi="Times New Roman"/>
          <w:b w:val="false"/>
          <w:bCs w:val="false"/>
          <w:i w:val="false"/>
          <w:iCs w:val="false"/>
          <w:sz w:val="22"/>
          <w:szCs w:val="22"/>
        </w:rPr>
        <w:t xml:space="preserve"> līgumi izpildāmi labā ticībā, un Pasūtītāja pienākums ir arī mazināt iespējamos zaudējumus (Civillikuma 1776. pants un tā piemērošanas prakse). Ja invertori faktiski darbojās, bet objekts netika formāli pieņemts, Pasūtītāja ekonomiskais zaudējums šajā daļā neiestājās.</w:t>
      </w:r>
    </w:p>
    <w:p>
      <w:pPr>
        <w:spacing w:after="120" w:before="240" w:line="300"/>
      </w:pPr>
      <w:r>
        <w:rPr>
          <w:rFonts w:ascii="Times New Roman" w:cs="Times New Roman" w:eastAsia="Times New Roman" w:hAnsi="Times New Roman"/>
          <w:b/>
          <w:bCs/>
          <w:sz w:val="24"/>
          <w:szCs w:val="24"/>
        </w:rPr>
        <w:t xml:space="preserve">4. Par Līgumu 12.2. punkta piemērošanu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Līgumu 12.2. punkts paredz atbildību par </w:t>
      </w:r>
      <w:r>
        <w:rPr>
          <w:rFonts w:ascii="Times New Roman" w:cs="Times New Roman" w:eastAsia="Times New Roman" w:hAnsi="Times New Roman"/>
          <w:b/>
          <w:bCs/>
          <w:i w:val="false"/>
          <w:iCs w:val="false"/>
          <w:sz w:val="22"/>
          <w:szCs w:val="22"/>
        </w:rPr>
        <w:t xml:space="preserve">“nodarītiem”</w:t>
      </w:r>
      <w:r>
        <w:rPr>
          <w:rFonts w:ascii="Times New Roman" w:cs="Times New Roman" w:eastAsia="Times New Roman" w:hAnsi="Times New Roman"/>
          <w:b w:val="false"/>
          <w:bCs w:val="false"/>
          <w:i w:val="false"/>
          <w:iCs w:val="false"/>
          <w:sz w:val="22"/>
          <w:szCs w:val="22"/>
        </w:rPr>
        <w:t xml:space="preserve"> tiešiem un netiešiem zaudējumiem. Šī norma nerada Pasūtītājam tiesības vienpusēji noteikt zaudējumu apmēru bez pierādīšanas un cēloņsakarības konstatēšanas. Tā vienīgi apstiprina vispārējos Civillikuma principus par zaudējumu atlīdzināšanu, kas prasa:</w:t>
      </w:r>
    </w:p>
    <w:p>
      <w:pPr>
        <w:pStyle w:val="ListParagraph"/>
        <w:numPr>
          <w:ilvl w:val="0"/>
          <w:numId w:val="3"/>
        </w:numPr>
        <w:spacing w:after="80" w:line="300"/>
        <w:jc w:val="both"/>
      </w:pPr>
      <w:r>
        <w:rPr>
          <w:rFonts w:ascii="Times New Roman" w:cs="Times New Roman" w:eastAsia="Times New Roman" w:hAnsi="Times New Roman"/>
          <w:sz w:val="22"/>
          <w:szCs w:val="22"/>
        </w:rPr>
        <w:t xml:space="preserve">pretlikumīgu (līgumam neatbilstošu) rīcību vai bezdarbību;</w:t>
      </w:r>
    </w:p>
    <w:p>
      <w:pPr>
        <w:pStyle w:val="ListParagraph"/>
        <w:numPr>
          <w:ilvl w:val="0"/>
          <w:numId w:val="3"/>
        </w:numPr>
        <w:spacing w:after="80" w:line="300"/>
        <w:jc w:val="both"/>
      </w:pPr>
      <w:r>
        <w:rPr>
          <w:rFonts w:ascii="Times New Roman" w:cs="Times New Roman" w:eastAsia="Times New Roman" w:hAnsi="Times New Roman"/>
          <w:sz w:val="22"/>
          <w:szCs w:val="22"/>
        </w:rPr>
        <w:t xml:space="preserve">faktiskus un pierādītus zaudējumus;</w:t>
      </w:r>
    </w:p>
    <w:p>
      <w:pPr>
        <w:pStyle w:val="ListParagraph"/>
        <w:numPr>
          <w:ilvl w:val="0"/>
          <w:numId w:val="3"/>
        </w:numPr>
        <w:spacing w:after="80" w:line="300"/>
        <w:jc w:val="both"/>
      </w:pPr>
      <w:r>
        <w:rPr>
          <w:rFonts w:ascii="Times New Roman" w:cs="Times New Roman" w:eastAsia="Times New Roman" w:hAnsi="Times New Roman"/>
          <w:sz w:val="22"/>
          <w:szCs w:val="22"/>
        </w:rPr>
        <w:t xml:space="preserve">cēloņsakarību starp rīcību un zaudējumiem;</w:t>
      </w:r>
    </w:p>
    <w:p>
      <w:pPr>
        <w:pStyle w:val="ListParagraph"/>
        <w:numPr>
          <w:ilvl w:val="0"/>
          <w:numId w:val="3"/>
        </w:numPr>
        <w:spacing w:after="80" w:line="300"/>
        <w:jc w:val="both"/>
      </w:pPr>
      <w:r>
        <w:rPr>
          <w:rFonts w:ascii="Times New Roman" w:cs="Times New Roman" w:eastAsia="Times New Roman" w:hAnsi="Times New Roman"/>
          <w:sz w:val="22"/>
          <w:szCs w:val="22"/>
        </w:rPr>
        <w:t xml:space="preserve">Izpildītāja vainu.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Vismaz 2. un 3. elements Pasūtītāja aprēķinā nav pierādīts.</w:t>
      </w:r>
    </w:p>
    <w:p>
      <w:pPr>
        <w:spacing w:after="120" w:before="240" w:line="300"/>
      </w:pPr>
      <w:r>
        <w:rPr>
          <w:rFonts w:ascii="Times New Roman" w:cs="Times New Roman" w:eastAsia="Times New Roman" w:hAnsi="Times New Roman"/>
          <w:b/>
          <w:bCs/>
          <w:sz w:val="24"/>
          <w:szCs w:val="24"/>
        </w:rPr>
        <w:t xml:space="preserve">5. Par līgumsodu par termiņu neievērošanu</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Pievēršam uzmanību, ka Līgumi </w:t>
      </w:r>
      <w:r>
        <w:rPr>
          <w:rFonts w:ascii="Times New Roman" w:cs="Times New Roman" w:eastAsia="Times New Roman" w:hAnsi="Times New Roman"/>
          <w:b/>
          <w:bCs/>
          <w:i w:val="false"/>
          <w:iCs w:val="false"/>
          <w:sz w:val="22"/>
          <w:szCs w:val="22"/>
        </w:rPr>
        <w:t xml:space="preserve">jau paredz speciālu tiesisko seku mehānismu par termiņu neievērošanu</w:t>
      </w:r>
      <w:r>
        <w:rPr>
          <w:rFonts w:ascii="Times New Roman" w:cs="Times New Roman" w:eastAsia="Times New Roman" w:hAnsi="Times New Roman"/>
          <w:b w:val="false"/>
          <w:bCs w:val="false"/>
          <w:i w:val="false"/>
          <w:iCs w:val="false"/>
          <w:sz w:val="22"/>
          <w:szCs w:val="22"/>
        </w:rPr>
        <w:t xml:space="preserve"> – līgumsodu 0,1 % apmērā no Līguma cenas par katru nokavēto dienu, bet ne vairāk kā 10 % no Līguma cenas (Līgumu 11. nodaļa). Tas ir Pušu iepriekš nolīgtais un samērīgais tiesiskais risinājums kavējuma gadījumā. Papildu “atrautās peļņas” tipa zaudējumu prasīšana, kas pārklājas ar līgumsoda funkciju, rada dubultas atbildības risku un pieprasa īpaši stingru pierādīšanas standartu.</w:t>
      </w:r>
    </w:p>
    <w:p>
      <w:pPr>
        <w:spacing w:after="120" w:before="240" w:line="300"/>
      </w:pPr>
      <w:r>
        <w:rPr>
          <w:rFonts w:ascii="Times New Roman" w:cs="Times New Roman" w:eastAsia="Times New Roman" w:hAnsi="Times New Roman"/>
          <w:b/>
          <w:bCs/>
          <w:sz w:val="24"/>
          <w:szCs w:val="24"/>
        </w:rPr>
        <w:t xml:space="preserve">6. Izpildītāja priekšlikumi turpmākai rīcībai</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Ņemot vērā augstāk minēto, Izpildītājs </w:t>
      </w:r>
      <w:r>
        <w:rPr>
          <w:rFonts w:ascii="Times New Roman" w:cs="Times New Roman" w:eastAsia="Times New Roman" w:hAnsi="Times New Roman"/>
          <w:b/>
          <w:bCs/>
          <w:i w:val="false"/>
          <w:iCs w:val="false"/>
          <w:sz w:val="22"/>
          <w:szCs w:val="22"/>
        </w:rPr>
        <w:t xml:space="preserve">noraida</w:t>
      </w:r>
      <w:r>
        <w:rPr>
          <w:rFonts w:ascii="Times New Roman" w:cs="Times New Roman" w:eastAsia="Times New Roman" w:hAnsi="Times New Roman"/>
          <w:b w:val="false"/>
          <w:bCs w:val="false"/>
          <w:i w:val="false"/>
          <w:iCs w:val="false"/>
          <w:sz w:val="22"/>
          <w:szCs w:val="22"/>
        </w:rPr>
        <w:t xml:space="preserve"> vēstulē aprēķināto zaudējumu summu EUR 2520,15 apmērā kā nepamatotu un neatbilstošu faktiskajai situācijai.</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Vienlaikus Izpildītājs apstiprina </w:t>
      </w:r>
      <w:r>
        <w:rPr>
          <w:rFonts w:ascii="Times New Roman" w:cs="Times New Roman" w:eastAsia="Times New Roman" w:hAnsi="Times New Roman"/>
          <w:b/>
          <w:bCs/>
          <w:i w:val="false"/>
          <w:iCs w:val="false"/>
          <w:sz w:val="22"/>
          <w:szCs w:val="22"/>
        </w:rPr>
        <w:t xml:space="preserve">gatavību konstruktīvi sadarboties</w:t>
      </w:r>
      <w:r>
        <w:rPr>
          <w:rFonts w:ascii="Times New Roman" w:cs="Times New Roman" w:eastAsia="Times New Roman" w:hAnsi="Times New Roman"/>
          <w:b w:val="false"/>
          <w:bCs w:val="false"/>
          <w:i w:val="false"/>
          <w:iCs w:val="false"/>
          <w:sz w:val="22"/>
          <w:szCs w:val="22"/>
        </w:rPr>
        <w:t xml:space="preserve">, lai pēc iespējas īsākā termiņā:</w:t>
      </w:r>
    </w:p>
    <w:p>
      <w:pPr>
        <w:pStyle w:val="ListParagraph"/>
        <w:numPr>
          <w:ilvl w:val="0"/>
          <w:numId w:val="3"/>
        </w:numPr>
        <w:spacing w:after="80" w:line="300"/>
        <w:jc w:val="both"/>
      </w:pPr>
      <w:r>
        <w:rPr>
          <w:rFonts w:ascii="Times New Roman" w:cs="Times New Roman" w:eastAsia="Times New Roman" w:hAnsi="Times New Roman"/>
          <w:sz w:val="22"/>
          <w:szCs w:val="22"/>
        </w:rPr>
        <w:t xml:space="preserve">pabeigtu visus atlikušos darbus un noformētu abpusēji parakstītu Darbu pieņemšanas un nodošanas aktu abās adresēs;</w:t>
      </w:r>
    </w:p>
    <w:p>
      <w:pPr>
        <w:pStyle w:val="ListParagraph"/>
        <w:numPr>
          <w:ilvl w:val="0"/>
          <w:numId w:val="3"/>
        </w:numPr>
        <w:spacing w:after="80" w:line="300"/>
        <w:jc w:val="both"/>
      </w:pPr>
      <w:r>
        <w:rPr>
          <w:rFonts w:ascii="Times New Roman" w:cs="Times New Roman" w:eastAsia="Times New Roman" w:hAnsi="Times New Roman"/>
          <w:sz w:val="22"/>
          <w:szCs w:val="22"/>
        </w:rPr>
        <w:t xml:space="preserve">organizētu kopīgu objekta apskati un invertoru darbības pārbaudi (t.sk. invertoru iekšējo darbības žurnālu (event log) un saražotās enerģijas datu fiksāciju), lai objektīvi konstatētu faktisko ražošanas periodu un apjomu;</w:t>
      </w:r>
    </w:p>
    <w:p>
      <w:pPr>
        <w:pStyle w:val="ListParagraph"/>
        <w:numPr>
          <w:ilvl w:val="0"/>
          <w:numId w:val="3"/>
        </w:numPr>
        <w:spacing w:after="80" w:line="300"/>
        <w:jc w:val="both"/>
      </w:pPr>
      <w:r>
        <w:rPr>
          <w:rFonts w:ascii="Times New Roman" w:cs="Times New Roman" w:eastAsia="Times New Roman" w:hAnsi="Times New Roman"/>
          <w:sz w:val="22"/>
          <w:szCs w:val="22"/>
        </w:rPr>
        <w:t xml:space="preserve">iesniegtu rakstisku skaidrojumu par kavējuma iemesliem saskaņā ar Līgumu 8. nodaļu;</w:t>
      </w:r>
    </w:p>
    <w:p>
      <w:pPr>
        <w:pStyle w:val="ListParagraph"/>
        <w:numPr>
          <w:ilvl w:val="0"/>
          <w:numId w:val="3"/>
        </w:numPr>
        <w:spacing w:after="80" w:line="300"/>
        <w:jc w:val="both"/>
      </w:pPr>
      <w:r>
        <w:rPr>
          <w:rFonts w:ascii="Times New Roman" w:cs="Times New Roman" w:eastAsia="Times New Roman" w:hAnsi="Times New Roman"/>
          <w:sz w:val="22"/>
          <w:szCs w:val="22"/>
        </w:rPr>
        <w:t xml:space="preserve">vienotos par EKII finansējuma nosacījumu izpildei nepieciešamo darbību grafiku, lai izslēgtu riskus Pasūtītājam.</w:t>
      </w:r>
    </w:p>
    <w:p>
      <w:pPr>
        <w:spacing w:after="120" w:before="0" w:line="300"/>
        <w:jc w:val="both"/>
      </w:pPr>
      <w:r>
        <w:rPr>
          <w:rFonts w:ascii="Times New Roman" w:cs="Times New Roman" w:eastAsia="Times New Roman" w:hAnsi="Times New Roman"/>
          <w:b w:val="false"/>
          <w:bCs w:val="false"/>
          <w:i w:val="false"/>
          <w:iCs w:val="false"/>
          <w:sz w:val="22"/>
          <w:szCs w:val="22"/>
        </w:rPr>
        <w:t xml:space="preserve">Lūdzam Pasūtītāju </w:t>
      </w:r>
      <w:r>
        <w:rPr>
          <w:rFonts w:ascii="Times New Roman" w:cs="Times New Roman" w:eastAsia="Times New Roman" w:hAnsi="Times New Roman"/>
          <w:b/>
          <w:bCs/>
          <w:i w:val="false"/>
          <w:iCs w:val="false"/>
          <w:sz w:val="22"/>
          <w:szCs w:val="22"/>
        </w:rPr>
        <w:t xml:space="preserve">14 (četrpadsmit) dienu laikā</w:t>
      </w:r>
      <w:r>
        <w:rPr>
          <w:rFonts w:ascii="Times New Roman" w:cs="Times New Roman" w:eastAsia="Times New Roman" w:hAnsi="Times New Roman"/>
          <w:b w:val="false"/>
          <w:bCs w:val="false"/>
          <w:i w:val="false"/>
          <w:iCs w:val="false"/>
          <w:sz w:val="22"/>
          <w:szCs w:val="22"/>
        </w:rPr>
        <w:t xml:space="preserve"> no šīs vēstules saņemšanas:</w:t>
      </w:r>
    </w:p>
    <w:p>
      <w:pPr>
        <w:pStyle w:val="ListParagraph"/>
        <w:numPr>
          <w:ilvl w:val="0"/>
          <w:numId w:val="2"/>
        </w:numPr>
        <w:spacing w:after="80" w:line="300"/>
        <w:jc w:val="both"/>
      </w:pPr>
      <w:r>
        <w:rPr>
          <w:rFonts w:ascii="Times New Roman" w:cs="Times New Roman" w:eastAsia="Times New Roman" w:hAnsi="Times New Roman"/>
          <w:sz w:val="22"/>
          <w:szCs w:val="22"/>
        </w:rPr>
        <w:t xml:space="preserve">iesniegt zaudējumu aprēķina detalizētu pamatojumu un pierādījumus (tostarp salīdzinājuma objektu datus, faktiskos mērījumus un aprēķina metodiku);</w:t>
      </w:r>
    </w:p>
    <w:p>
      <w:pPr>
        <w:pStyle w:val="ListParagraph"/>
        <w:numPr>
          <w:ilvl w:val="0"/>
          <w:numId w:val="2"/>
        </w:numPr>
        <w:spacing w:after="80" w:line="300"/>
        <w:jc w:val="both"/>
      </w:pPr>
      <w:r>
        <w:rPr>
          <w:rFonts w:ascii="Times New Roman" w:cs="Times New Roman" w:eastAsia="Times New Roman" w:hAnsi="Times New Roman"/>
          <w:sz w:val="22"/>
          <w:szCs w:val="22"/>
        </w:rPr>
        <w:t xml:space="preserve">apstiprināt kopīgās objekta apskates datumu un laiku.</w:t>
      </w:r>
    </w:p>
    <w:p>
      <w:pPr>
        <w:spacing w:after="360" w:before="0" w:line="300"/>
        <w:jc w:val="both"/>
      </w:pPr>
      <w:r>
        <w:rPr>
          <w:rFonts w:ascii="Times New Roman" w:cs="Times New Roman" w:eastAsia="Times New Roman" w:hAnsi="Times New Roman"/>
          <w:b w:val="false"/>
          <w:bCs w:val="false"/>
          <w:i w:val="false"/>
          <w:iCs w:val="false"/>
          <w:sz w:val="22"/>
          <w:szCs w:val="22"/>
        </w:rPr>
        <w:t xml:space="preserve">Izpildītājs patur visas Līgumos un normatīvajos aktos noteiktās tiesības, tostarp tiesības aizstāvēties pret jebkādām nepamatotām prasībām Latvijas Republikas tiesā.</w:t>
      </w:r>
    </w:p>
    <w:p>
      <w:pPr>
        <w:spacing w:after="480" w:before="0" w:line="300"/>
        <w:jc w:val="left"/>
      </w:pPr>
      <w:r>
        <w:rPr>
          <w:rFonts w:ascii="Times New Roman" w:cs="Times New Roman" w:eastAsia="Times New Roman" w:hAnsi="Times New Roman"/>
          <w:b w:val="false"/>
          <w:bCs w:val="false"/>
          <w:i w:val="false"/>
          <w:iCs w:val="false"/>
          <w:sz w:val="22"/>
          <w:szCs w:val="22"/>
        </w:rPr>
        <w:t xml:space="preserve">Ar cieņu,</w:t>
      </w:r>
    </w:p>
    <w:p>
      <w:pPr>
        <w:spacing w:after="0" w:before="0" w:line="300"/>
        <w:jc w:val="left"/>
      </w:pPr>
      <w:r>
        <w:rPr>
          <w:rFonts w:ascii="Times New Roman" w:cs="Times New Roman" w:eastAsia="Times New Roman" w:hAnsi="Times New Roman"/>
          <w:b/>
          <w:bCs/>
          <w:i w:val="false"/>
          <w:iCs w:val="false"/>
          <w:sz w:val="22"/>
          <w:szCs w:val="22"/>
        </w:rPr>
        <w:t xml:space="preserve">Jānis Liepiņš</w:t>
      </w:r>
    </w:p>
    <w:p>
      <w:pPr>
        <w:spacing w:after="0" w:before="0" w:line="300"/>
        <w:jc w:val="left"/>
      </w:pPr>
      <w:r>
        <w:rPr>
          <w:rFonts w:ascii="Times New Roman" w:cs="Times New Roman" w:eastAsia="Times New Roman" w:hAnsi="Times New Roman"/>
          <w:b w:val="false"/>
          <w:bCs w:val="false"/>
          <w:i w:val="false"/>
          <w:iCs w:val="false"/>
          <w:sz w:val="22"/>
          <w:szCs w:val="22"/>
        </w:rPr>
        <w:t xml:space="preserve">Valdes loceklis</w:t>
      </w:r>
    </w:p>
    <w:p>
      <w:pPr>
        <w:spacing w:after="0" w:before="0" w:line="300"/>
        <w:jc w:val="left"/>
      </w:pPr>
      <w:r>
        <w:rPr>
          <w:rFonts w:ascii="Times New Roman" w:cs="Times New Roman" w:eastAsia="Times New Roman" w:hAnsi="Times New Roman"/>
          <w:b w:val="false"/>
          <w:bCs w:val="false"/>
          <w:i w:val="false"/>
          <w:iCs w:val="false"/>
          <w:sz w:val="22"/>
          <w:szCs w:val="22"/>
        </w:rPr>
        <w:t xml:space="preserve">SIA “UEC Sistēmas”</w:t>
      </w:r>
    </w:p>
    <w:p>
      <w:pPr>
        <w:spacing w:after="0" w:before="0" w:line="300"/>
        <w:jc w:val="left"/>
      </w:pPr>
      <w:r>
        <w:rPr>
          <w:rFonts w:ascii="Times New Roman" w:cs="Times New Roman" w:eastAsia="Times New Roman" w:hAnsi="Times New Roman"/>
          <w:b w:val="false"/>
          <w:bCs w:val="false"/>
          <w:i w:val="false"/>
          <w:iCs w:val="false"/>
          <w:sz w:val="22"/>
          <w:szCs w:val="22"/>
        </w:rPr>
        <w:t xml:space="preserve">E-pasts: janis.liepins@uecsistemas.lv</w:t>
      </w:r>
    </w:p>
    <w:p>
      <w:pPr>
        <w:spacing w:after="240" w:before="0" w:line="300"/>
        <w:jc w:val="left"/>
      </w:pPr>
      <w:r>
        <w:rPr>
          <w:rFonts w:ascii="Times New Roman" w:cs="Times New Roman" w:eastAsia="Times New Roman" w:hAnsi="Times New Roman"/>
          <w:b w:val="false"/>
          <w:bCs w:val="false"/>
          <w:i w:val="false"/>
          <w:iCs w:val="false"/>
          <w:sz w:val="22"/>
          <w:szCs w:val="22"/>
        </w:rPr>
        <w:t xml:space="preserve">Tālr.: +371 26 521 145</w:t>
      </w:r>
    </w:p>
    <w:p>
      <w:pPr>
        <w:spacing w:after="120" w:before="0" w:line="300"/>
        <w:jc w:val="left"/>
      </w:pPr>
      <w:r>
        <w:rPr>
          <w:rFonts w:ascii="Times New Roman" w:cs="Times New Roman" w:eastAsia="Times New Roman" w:hAnsi="Times New Roman"/>
          <w:b w:val="false"/>
          <w:bCs w:val="false"/>
          <w:i/>
          <w:iCs/>
          <w:sz w:val="22"/>
          <w:szCs w:val="22"/>
        </w:rPr>
        <w:t xml:space="preserve">Dokuments parakstīts ar drošu elektronisko parakstu un satur laika zīmogu.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Atbilde RP SIA Rīgas satiksme</dc:title>
  <dc:creator>SIA UEC Sistēmas</dc:creator>
  <dc:description>Atbildes vēstule par līgumiem LIG-IEP/2025/172 un LIG-IEP/2025/173</dc:description>
  <cp:lastModifiedBy>Un-named</cp:lastModifiedBy>
  <cp:revision>1</cp:revision>
  <dcterms:created xsi:type="dcterms:W3CDTF">2026-04-24T11:29:15.429Z</dcterms:created>
  <dcterms:modified xsi:type="dcterms:W3CDTF">2026-04-24T11:29:15.432Z</dcterms:modified>
</cp:coreProperties>
</file>

<file path=docProps/custom.xml><?xml version="1.0" encoding="utf-8"?>
<Properties xmlns="http://schemas.openxmlformats.org/officeDocument/2006/custom-properties" xmlns:vt="http://schemas.openxmlformats.org/officeDocument/2006/docPropsVTypes"/>
</file>