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1042BD" w14:textId="77777777" w:rsidR="00CF5845" w:rsidRDefault="00CF5845" w:rsidP="00CF5845">
      <w:pPr>
        <w:jc w:val="center"/>
        <w:rPr>
          <w:b/>
          <w:sz w:val="28"/>
          <w:szCs w:val="28"/>
          <w:lang w:val="ru-RU"/>
        </w:rPr>
        <w:spacing w:before="0" w:after="0" w:line="240" w:lineRule="auto"/>
        <w:ind w:firstLine="0" w:left="0" w:right="0"/>
      </w:pPr>
      <w:r w:rsidRPr="000249EF">
        <w:rPr>
          <w:b/>
          <w:rFonts w:ascii="Times New Roman" w:hAnsi="Times New Roman" w:cs="Times New Roman" w:eastAsia="Times New Roman"/>
          <w:sz w:val="28"/>
          <w:szCs w:val="28"/>
        </w:rPr>
        <w:t>ҚАЗАҚСТАН РЕСПУБЛИКАСЫ БІЛІМ ЖӘНЕ ҒЫЛЫМ МИНИСТІРЛІГІ</w:t>
      </w:r>
    </w:p>
    <w:p w14:paraId="7DCB0994" w14:textId="77777777" w:rsidR="00CF5845" w:rsidRPr="00CF5845" w:rsidRDefault="00CF5845" w:rsidP="00CF5845">
      <w:pPr>
        <w:jc w:val="center"/>
        <w:rPr>
          <w:b/>
          <w:sz w:val="28"/>
          <w:szCs w:val="28"/>
          <w:lang w:val="ru-RU"/>
        </w:rPr>
        <w:spacing w:before="0" w:after="0" w:line="240" w:lineRule="auto"/>
        <w:ind w:firstLine="0" w:left="0" w:right="0"/>
      </w:pPr>
    </w:p>
    <w:p w14:paraId="2CDD0575" w14:textId="77777777" w:rsidR="00CF5845" w:rsidRPr="000249EF" w:rsidRDefault="00CF5845" w:rsidP="00CF5845">
      <w:pPr>
        <w:jc w:val="center"/>
        <w:rPr>
          <w:b/>
          <w:sz w:val="28"/>
          <w:szCs w:val="28"/>
        </w:rPr>
        <w:spacing w:before="0" w:after="0" w:line="240" w:lineRule="auto"/>
        <w:ind w:firstLine="0" w:left="0" w:right="0"/>
      </w:pPr>
      <w:r w:rsidRPr="000249EF">
        <w:rPr>
          <w:b/>
          <w:rFonts w:ascii="Times New Roman" w:hAnsi="Times New Roman" w:cs="Times New Roman" w:eastAsia="Times New Roman"/>
          <w:sz w:val="28"/>
          <w:szCs w:val="28"/>
        </w:rPr>
        <w:t>Л.Н.Гумилев атындағы Еуразия ұлттық университеті</w:t>
      </w:r>
    </w:p>
    <w:p w14:paraId="36272735" w14:textId="77777777" w:rsidR="00CF5845" w:rsidRPr="000249EF" w:rsidRDefault="00CF5845" w:rsidP="00CF5845">
      <w:pPr>
        <w:jc w:val="center"/>
        <w:rPr>
          <w:b/>
          <w:sz w:val="28"/>
          <w:szCs w:val="28"/>
        </w:rPr>
        <w:spacing w:before="0" w:after="0" w:line="240" w:lineRule="auto"/>
        <w:ind w:firstLine="0" w:left="0" w:right="0"/>
      </w:pPr>
      <w:r w:rsidRPr="000249EF">
        <w:rPr>
          <w:b/>
          <w:rFonts w:ascii="Times New Roman" w:hAnsi="Times New Roman" w:cs="Times New Roman" w:eastAsia="Times New Roman"/>
          <w:sz w:val="28"/>
          <w:szCs w:val="28"/>
        </w:rPr>
        <w:t xml:space="preserve">Ақпараттық технологиялар факультеті </w:t>
      </w:r>
    </w:p>
    <w:p w14:paraId="1717DD98" w14:textId="77777777" w:rsidR="00CF5845" w:rsidRPr="000249EF" w:rsidRDefault="00CF5845" w:rsidP="00CF5845">
      <w:pPr>
        <w:jc w:val="center"/>
        <w:rPr>
          <w:b/>
          <w:sz w:val="28"/>
          <w:szCs w:val="28"/>
        </w:rPr>
        <w:spacing w:before="0" w:after="0" w:line="240" w:lineRule="auto"/>
        <w:ind w:firstLine="0" w:left="0" w:right="0"/>
      </w:pPr>
      <w:r w:rsidRPr="000249EF">
        <w:rPr>
          <w:b/>
          <w:rFonts w:ascii="Times New Roman" w:hAnsi="Times New Roman" w:cs="Times New Roman" w:eastAsia="Times New Roman"/>
          <w:sz w:val="28"/>
          <w:szCs w:val="28"/>
        </w:rPr>
        <w:t>Ақпараттық жүйелер кафедрасы</w:t>
      </w:r>
    </w:p>
    <w:p w14:paraId="099CD2AF" w14:textId="77777777" w:rsidR="00CF5845" w:rsidRPr="000249EF" w:rsidRDefault="00CF5845" w:rsidP="00CF5845">
      <w:pPr>
        <w:jc w:val="center"/>
        <w:rPr>
          <w:b/>
          <w:bCs/>
          <w:sz w:val="28"/>
          <w:szCs w:val="28"/>
        </w:rPr>
        <w:spacing w:before="0" w:after="0" w:line="240" w:lineRule="auto"/>
        <w:ind w:firstLine="0" w:left="0" w:right="0"/>
      </w:pPr>
    </w:p>
    <w:p w14:paraId="604B3B78" w14:textId="77777777" w:rsidR="00CF5845" w:rsidRPr="000249EF" w:rsidRDefault="00CF5845" w:rsidP="00CF5845">
      <w:pPr>
        <w:jc w:val="center"/>
        <w:rPr>
          <w:b/>
          <w:bCs/>
          <w:sz w:val="28"/>
          <w:szCs w:val="28"/>
        </w:rPr>
        <w:spacing w:before="0" w:after="0" w:line="240" w:lineRule="auto"/>
        <w:ind w:firstLine="0" w:left="0" w:right="0"/>
      </w:pPr>
    </w:p>
    <w:p w14:paraId="413557C4" w14:textId="77777777" w:rsidR="00CF5845" w:rsidRPr="000249EF" w:rsidRDefault="00CF5845" w:rsidP="00CF5845">
      <w:pPr>
        <w:jc w:val="center"/>
        <w:rPr>
          <w:b/>
          <w:bCs/>
          <w:sz w:val="28"/>
          <w:szCs w:val="28"/>
        </w:rPr>
        <w:spacing w:before="0" w:after="0" w:line="240" w:lineRule="auto"/>
        <w:ind w:firstLine="0" w:left="0" w:right="0"/>
      </w:pPr>
    </w:p>
    <w:p w14:paraId="3674C6A2" w14:textId="77777777" w:rsidR="00CF5845" w:rsidRPr="000249EF" w:rsidRDefault="00CF5845" w:rsidP="00CF5845">
      <w:pPr>
        <w:tabs>
          <w:tab w:val="left" w:pos="4149"/>
        </w:tabs>
        <w:rPr>
          <w:b/>
          <w:bCs/>
          <w:sz w:val="28"/>
          <w:szCs w:val="28"/>
        </w:rPr>
        <w:spacing w:before="0" w:after="0" w:line="240" w:lineRule="auto"/>
        <w:ind w:firstLine="0" w:left="0" w:right="0"/>
      </w:pPr>
      <w:r w:rsidRPr="000249EF">
        <w:rPr>
          <w:b/>
          <w:bCs/>
          <w:rFonts w:ascii="Times New Roman" w:hAnsi="Times New Roman" w:cs="Times New Roman" w:eastAsia="Times New Roman"/>
          <w:sz w:val="28"/>
          <w:szCs w:val="28"/>
        </w:rPr>
        <w:tab/>
      </w:r>
    </w:p>
    <w:p w14:paraId="38F4F2D1" w14:textId="77777777" w:rsidR="00CF5845" w:rsidRPr="000249EF" w:rsidRDefault="00CF5845" w:rsidP="00CF5845">
      <w:pPr>
        <w:jc w:val="center"/>
        <w:rPr>
          <w:b/>
          <w:bCs/>
          <w:sz w:val="28"/>
          <w:szCs w:val="28"/>
        </w:rPr>
        <w:spacing w:before="0" w:after="0" w:line="240" w:lineRule="auto"/>
        <w:ind w:firstLine="0" w:left="0" w:right="0"/>
      </w:pPr>
    </w:p>
    <w:p w14:paraId="28141E15" w14:textId="77777777" w:rsidR="00CF5845" w:rsidRPr="000249EF" w:rsidRDefault="00CF5845" w:rsidP="00CF5845">
      <w:pPr>
        <w:tabs>
          <w:tab w:val="left" w:pos="2412"/>
        </w:tabs>
        <w:rPr>
          <w:b/>
          <w:bCs/>
          <w:sz w:val="28"/>
          <w:szCs w:val="28"/>
        </w:rPr>
        <w:spacing w:before="0" w:after="0" w:line="240" w:lineRule="auto"/>
        <w:ind w:firstLine="0" w:left="0" w:right="0"/>
      </w:pPr>
      <w:r w:rsidRPr="000249EF">
        <w:rPr>
          <w:b/>
          <w:bCs/>
          <w:rFonts w:ascii="Times New Roman" w:hAnsi="Times New Roman" w:cs="Times New Roman" w:eastAsia="Times New Roman"/>
          <w:sz w:val="28"/>
          <w:szCs w:val="28"/>
        </w:rPr>
        <w:tab/>
      </w:r>
    </w:p>
    <w:p w14:paraId="26D2E386" w14:textId="77777777" w:rsidR="00CF5845" w:rsidRPr="000249EF" w:rsidRDefault="00CF5845" w:rsidP="00CF5845">
      <w:pPr>
        <w:jc w:val="center"/>
        <w:rPr>
          <w:b/>
          <w:bCs/>
          <w:sz w:val="28"/>
          <w:szCs w:val="28"/>
        </w:rPr>
        <w:spacing w:before="0" w:after="0" w:line="240" w:lineRule="auto"/>
        <w:ind w:firstLine="0" w:left="0" w:right="0"/>
      </w:pPr>
    </w:p>
    <w:p w14:paraId="036F41A2" w14:textId="77777777" w:rsidR="00CF5845" w:rsidRPr="000249EF" w:rsidRDefault="00CF5845" w:rsidP="00CF5845">
      <w:pPr>
        <w:jc w:val="center"/>
        <w:rPr>
          <w:b/>
          <w:bCs/>
          <w:sz w:val="28"/>
          <w:szCs w:val="28"/>
        </w:rPr>
        <w:spacing w:before="0" w:after="0" w:line="240" w:lineRule="auto"/>
        <w:ind w:firstLine="0" w:left="0" w:right="0"/>
      </w:pPr>
    </w:p>
    <w:p w14:paraId="5E358EEF" w14:textId="77777777" w:rsidR="00CF5845" w:rsidRPr="000249EF" w:rsidRDefault="00CF5845" w:rsidP="00CF5845">
      <w:pPr>
        <w:jc w:val="center"/>
        <w:rPr>
          <w:b/>
          <w:bCs/>
          <w:sz w:val="28"/>
          <w:szCs w:val="28"/>
        </w:rPr>
        <w:spacing w:before="0" w:after="0" w:line="240" w:lineRule="auto"/>
        <w:ind w:firstLine="0" w:left="0" w:right="0"/>
      </w:pPr>
      <w:r w:rsidRPr="000249EF">
        <w:rPr>
          <w:b/>
          <w:bCs/>
          <w:rFonts w:ascii="Times New Roman" w:hAnsi="Times New Roman" w:cs="Times New Roman" w:eastAsia="Times New Roman"/>
          <w:sz w:val="28"/>
          <w:szCs w:val="28"/>
        </w:rPr>
        <w:t>ЕСЕП</w:t>
      </w:r>
    </w:p>
    <w:p w14:paraId="47B951AC" w14:textId="71CA0349" w:rsidR="00CF5845" w:rsidRPr="00CF5845" w:rsidRDefault="00CF5845" w:rsidP="00CF5845">
      <w:pPr>
        <w:jc w:val="center"/>
        <w:rPr>
          <w:b/>
          <w:bCs/>
          <w:sz w:val="28"/>
          <w:szCs w:val="28"/>
          <w:lang w:val="en-US"/>
        </w:rPr>
        <w:spacing w:before="0" w:after="0" w:line="240" w:lineRule="auto"/>
        <w:ind w:firstLine="0" w:left="0" w:right="0"/>
      </w:pPr>
      <w:r>
        <w:rPr>
          <w:b/>
          <w:rFonts w:ascii="Times New Roman" w:hAnsi="Times New Roman" w:cs="Times New Roman" w:eastAsia="Times New Roman"/>
          <w:sz w:val="28"/>
          <w:szCs w:val="28"/>
        </w:rPr>
        <w:t>ЗЕРТХАНАЛЫҚ ЖҰМЫС №8</w:t>
      </w:r>
    </w:p>
    <w:p w14:paraId="2B7F0E13" w14:textId="77777777" w:rsidR="00CF5845" w:rsidRPr="000249EF" w:rsidRDefault="00CF5845" w:rsidP="00CF5845">
      <w:pPr>
        <w:jc w:val="center"/>
        <w:rPr>
          <w:b/>
          <w:bCs/>
          <w:sz w:val="28"/>
          <w:szCs w:val="28"/>
        </w:rPr>
        <w:spacing w:before="0" w:after="0" w:line="240" w:lineRule="auto"/>
        <w:ind w:firstLine="0" w:left="0" w:right="0"/>
      </w:pPr>
    </w:p>
    <w:p w14:paraId="444BB988" w14:textId="77777777" w:rsidR="00CF5845" w:rsidRPr="000249EF" w:rsidRDefault="00CF5845" w:rsidP="00CF5845">
      <w:pPr>
        <w:jc w:val="center"/>
        <w:rPr>
          <w:b/>
          <w:bCs/>
          <w:sz w:val="28"/>
          <w:szCs w:val="28"/>
        </w:rPr>
        <w:spacing w:before="0" w:after="0" w:line="240" w:lineRule="auto"/>
        <w:ind w:firstLine="0" w:left="0" w:right="0"/>
      </w:pPr>
      <w:r>
        <w:rPr>
          <w:b/>
          <w:rFonts w:ascii="Times New Roman" w:hAnsi="Times New Roman" w:cs="Times New Roman" w:eastAsia="Times New Roman"/>
          <w:sz w:val="28"/>
          <w:szCs w:val="28"/>
        </w:rPr>
        <w:t>Пән: IT жобаларын басқару</w:t>
      </w:r>
    </w:p>
    <w:p w14:paraId="28196CF3" w14:textId="77777777" w:rsidR="00CF5845" w:rsidRPr="000249EF" w:rsidRDefault="00CF5845" w:rsidP="00CF5845">
      <w:pPr>
        <w:jc w:val="center"/>
        <w:rPr>
          <w:sz w:val="28"/>
          <w:szCs w:val="28"/>
        </w:rPr>
        <w:spacing w:before="0" w:after="0" w:line="240" w:lineRule="auto"/>
        <w:ind w:firstLine="0" w:left="0" w:right="0"/>
      </w:pPr>
    </w:p>
    <w:p w14:paraId="7275783F" w14:textId="77777777" w:rsidR="00CF5845" w:rsidRPr="000249EF" w:rsidRDefault="00CF5845" w:rsidP="00CF5845">
      <w:pPr>
        <w:jc w:val="center"/>
        <w:rPr>
          <w:sz w:val="28"/>
          <w:szCs w:val="28"/>
        </w:rPr>
        <w:spacing w:before="0" w:after="0" w:line="240" w:lineRule="auto"/>
        <w:ind w:firstLine="0" w:left="0" w:right="0"/>
      </w:pPr>
    </w:p>
    <w:p w14:paraId="1F92FE27" w14:textId="77777777" w:rsidR="00CF5845" w:rsidRPr="000249EF" w:rsidRDefault="00CF5845" w:rsidP="00CF5845">
      <w:pPr>
        <w:jc w:val="center"/>
        <w:rPr>
          <w:sz w:val="28"/>
          <w:szCs w:val="28"/>
        </w:rPr>
        <w:spacing w:before="0" w:after="0" w:line="240" w:lineRule="auto"/>
        <w:ind w:firstLine="0" w:left="0" w:right="0"/>
      </w:pPr>
    </w:p>
    <w:p w14:paraId="652CDBFB" w14:textId="29F0C8AC" w:rsidR="00CF5845" w:rsidRPr="00CF5845" w:rsidRDefault="00CF5845" w:rsidP="00CF5845">
      <w:pPr>
        <w:jc w:val="center"/>
        <w:rPr>
          <w:b/>
          <w:bCs/>
          <w:sz w:val="28"/>
          <w:szCs w:val="28"/>
          <w:lang w:val="en-US"/>
        </w:rPr>
        <w:spacing w:before="0" w:after="0" w:line="240" w:lineRule="auto"/>
        <w:ind w:firstLine="0" w:left="0" w:right="0"/>
      </w:pPr>
      <w:r>
        <w:rPr>
          <w:b/>
          <w:rFonts w:ascii="Times New Roman" w:hAnsi="Times New Roman" w:cs="Times New Roman" w:eastAsia="Times New Roman"/>
          <w:sz w:val="28"/>
          <w:szCs w:val="28"/>
        </w:rPr>
        <w:t>Тақырыбы: «ENUWay жобасының SoW, SLA және SLO талаптары мен бюджеті»</w:t>
      </w:r>
    </w:p>
    <w:p w14:paraId="050026C5" w14:textId="77777777" w:rsidR="00CF5845" w:rsidRPr="000249EF" w:rsidRDefault="00CF5845" w:rsidP="00CF5845">
      <w:pPr>
        <w:jc w:val="center"/>
        <w:rPr>
          <w:sz w:val="28"/>
          <w:szCs w:val="28"/>
        </w:rPr>
        <w:spacing w:before="0" w:after="0" w:line="240" w:lineRule="auto"/>
        <w:ind w:firstLine="0" w:left="0" w:right="0"/>
      </w:pPr>
    </w:p>
    <w:p w14:paraId="71DC0D55" w14:textId="77777777" w:rsidR="00CF5845" w:rsidRPr="000249EF" w:rsidRDefault="00CF5845" w:rsidP="00CF5845">
      <w:pPr>
        <w:jc w:val="right"/>
        <w:rPr>
          <w:sz w:val="28"/>
          <w:szCs w:val="28"/>
        </w:rPr>
        <w:spacing w:before="0" w:after="0" w:line="240" w:lineRule="auto"/>
        <w:ind w:firstLine="0" w:left="0" w:right="0"/>
      </w:pPr>
    </w:p>
    <w:p w14:paraId="21F877CF" w14:textId="77777777" w:rsidR="00CF5845" w:rsidRPr="000249EF" w:rsidRDefault="00CF5845" w:rsidP="00CF5845">
      <w:pPr>
        <w:jc w:val="right"/>
        <w:rPr>
          <w:sz w:val="28"/>
          <w:szCs w:val="28"/>
        </w:rPr>
        <w:spacing w:before="0" w:after="0" w:line="240" w:lineRule="auto"/>
        <w:ind w:firstLine="0" w:left="0" w:right="0"/>
      </w:pPr>
    </w:p>
    <w:p w14:paraId="5418F27A" w14:textId="77777777" w:rsidR="00CF5845" w:rsidRPr="000249EF" w:rsidRDefault="00CF5845" w:rsidP="00CF5845">
      <w:pPr>
        <w:jc w:val="right"/>
        <w:rPr>
          <w:sz w:val="28"/>
          <w:szCs w:val="28"/>
        </w:rPr>
        <w:spacing w:before="0" w:after="0" w:line="240" w:lineRule="auto"/>
        <w:ind w:firstLine="0" w:left="0" w:right="0"/>
      </w:pPr>
    </w:p>
    <w:p w14:paraId="5C1B0796" w14:textId="77777777" w:rsidR="00CF5845" w:rsidRPr="000249EF" w:rsidRDefault="00CF5845" w:rsidP="00CF5845">
      <w:pPr>
        <w:jc w:val="right"/>
        <w:rPr>
          <w:sz w:val="28"/>
          <w:szCs w:val="28"/>
        </w:rPr>
        <w:spacing w:before="0" w:after="0" w:line="240" w:lineRule="auto"/>
        <w:ind w:firstLine="0" w:left="0" w:right="0"/>
      </w:pPr>
    </w:p>
    <w:p w14:paraId="13FEFA75" w14:textId="77777777" w:rsidR="00CF5845" w:rsidRPr="000249EF" w:rsidRDefault="00CF5845" w:rsidP="00CF5845">
      <w:pPr>
        <w:jc w:val="right"/>
        <w:rPr>
          <w:sz w:val="28"/>
          <w:szCs w:val="28"/>
        </w:rPr>
        <w:spacing w:before="0" w:after="0" w:line="240" w:lineRule="auto"/>
        <w:ind w:firstLine="0" w:left="0" w:right="0"/>
      </w:pPr>
    </w:p>
    <w:p w14:paraId="37DB22BC" w14:textId="77777777" w:rsidR="00CF5845" w:rsidRPr="000249EF" w:rsidRDefault="00CF5845" w:rsidP="00CF5845">
      <w:pPr>
        <w:jc w:val="right"/>
        <w:rPr>
          <w:sz w:val="28"/>
          <w:szCs w:val="28"/>
        </w:rPr>
        <w:spacing w:before="0" w:after="0" w:line="240" w:lineRule="auto"/>
        <w:ind w:firstLine="0" w:left="0" w:right="0"/>
      </w:pPr>
      <w:r>
        <w:rPr>
          <w:rFonts w:ascii="Times New Roman" w:hAnsi="Times New Roman" w:cs="Times New Roman" w:eastAsia="Times New Roman"/>
          <w:sz w:val="28"/>
          <w:szCs w:val="28"/>
        </w:rPr>
        <w:t>Орындағандар: Альфараби, Нурай, Нурислам</w:t>
      </w:r>
    </w:p>
    <w:p w14:paraId="6CD06408" w14:textId="77777777" w:rsidR="00CF5845" w:rsidRPr="000249EF" w:rsidRDefault="00CF5845" w:rsidP="00CF5845">
      <w:pPr>
        <w:jc w:val="right"/>
        <w:rPr>
          <w:sz w:val="28"/>
          <w:szCs w:val="28"/>
        </w:rPr>
        <w:spacing w:before="0" w:after="0" w:line="240" w:lineRule="auto"/>
        <w:ind w:firstLine="0" w:left="0" w:right="0"/>
      </w:pPr>
      <w:r w:rsidRPr="000249EF">
        <w:rPr>
          <w:rFonts w:ascii="Times New Roman" w:hAnsi="Times New Roman" w:cs="Times New Roman" w:eastAsia="Times New Roman"/>
          <w:sz w:val="28"/>
          <w:szCs w:val="28"/>
        </w:rPr>
        <w:t xml:space="preserve">Тобы: </w:t>
      </w:r>
      <w:r w:rsidRPr="000249EF">
        <w:rPr>
          <w:u w:val="single"/>
          <w:rFonts w:ascii="Times New Roman" w:hAnsi="Times New Roman" w:cs="Times New Roman" w:eastAsia="Times New Roman"/>
          <w:sz w:val="28"/>
          <w:szCs w:val="28"/>
        </w:rPr>
        <w:t>АЖ - 45</w:t>
      </w:r>
    </w:p>
    <w:p w14:paraId="119A69AA" w14:textId="77777777" w:rsidR="00CF5845" w:rsidRPr="000249EF" w:rsidRDefault="00CF5845" w:rsidP="00CF5845">
      <w:pPr>
        <w:jc w:val="right"/>
        <w:rPr>
          <w:sz w:val="28"/>
          <w:szCs w:val="28"/>
          <w:u w:val="single"/>
        </w:rPr>
        <w:spacing w:before="0" w:after="0" w:line="240" w:lineRule="auto"/>
        <w:ind w:firstLine="0" w:left="0" w:right="0"/>
      </w:pPr>
      <w:r>
        <w:rPr>
          <w:rFonts w:ascii="Times New Roman" w:hAnsi="Times New Roman" w:cs="Times New Roman" w:eastAsia="Times New Roman"/>
          <w:sz w:val="28"/>
          <w:szCs w:val="28"/>
        </w:rPr>
        <w:t>Тексерген: Самбетбаева М.А.</w:t>
      </w:r>
    </w:p>
    <w:p w14:paraId="6BD461D1" w14:textId="77777777" w:rsidR="00CF5845" w:rsidRPr="000249EF" w:rsidRDefault="00CF5845" w:rsidP="00CF5845">
      <w:pPr>
        <w:jc w:val="center"/>
        <w:rPr>
          <w:b/>
          <w:bCs/>
          <w:sz w:val="28"/>
          <w:szCs w:val="28"/>
        </w:rPr>
        <w:spacing w:before="0" w:after="0" w:line="240" w:lineRule="auto"/>
        <w:ind w:firstLine="0" w:left="0" w:right="0"/>
      </w:pPr>
    </w:p>
    <w:p w14:paraId="4DB97E92" w14:textId="77777777" w:rsidR="00CF5845" w:rsidRPr="000249EF" w:rsidRDefault="00CF5845" w:rsidP="00CF5845">
      <w:pPr>
        <w:jc w:val="center"/>
        <w:rPr>
          <w:b/>
          <w:bCs/>
          <w:sz w:val="28"/>
          <w:szCs w:val="28"/>
        </w:rPr>
        <w:spacing w:before="0" w:after="0" w:line="240" w:lineRule="auto"/>
        <w:ind w:firstLine="0" w:left="0" w:right="0"/>
      </w:pPr>
    </w:p>
    <w:p w14:paraId="60397364" w14:textId="77777777" w:rsidR="00CF5845" w:rsidRPr="000249EF" w:rsidRDefault="00CF5845" w:rsidP="00CF5845">
      <w:pPr>
        <w:jc w:val="center"/>
        <w:rPr>
          <w:b/>
          <w:bCs/>
          <w:sz w:val="28"/>
          <w:szCs w:val="28"/>
        </w:rPr>
        <w:spacing w:before="0" w:after="0" w:line="240" w:lineRule="auto"/>
        <w:ind w:firstLine="0" w:left="0" w:right="0"/>
      </w:pPr>
    </w:p>
    <w:p w14:paraId="170CA0B1" w14:textId="77777777" w:rsidR="00CF5845" w:rsidRPr="000249EF" w:rsidRDefault="00CF5845" w:rsidP="00CF5845">
      <w:pPr>
        <w:jc w:val="center"/>
        <w:rPr>
          <w:b/>
          <w:bCs/>
          <w:sz w:val="28"/>
          <w:szCs w:val="28"/>
        </w:rPr>
        <w:spacing w:before="0" w:after="0" w:line="240" w:lineRule="auto"/>
        <w:ind w:firstLine="0" w:left="0" w:right="0"/>
      </w:pPr>
    </w:p>
    <w:p w14:paraId="5A7D6637" w14:textId="77777777" w:rsidR="00CF5845" w:rsidRPr="000249EF" w:rsidRDefault="00CF5845" w:rsidP="00CF5845">
      <w:pPr>
        <w:jc w:val="center"/>
        <w:rPr>
          <w:b/>
          <w:bCs/>
          <w:sz w:val="28"/>
          <w:szCs w:val="28"/>
        </w:rPr>
        <w:spacing w:before="0" w:after="0" w:line="240" w:lineRule="auto"/>
        <w:ind w:firstLine="0" w:left="0" w:right="0"/>
      </w:pPr>
    </w:p>
    <w:p w14:paraId="17C72380" w14:textId="77777777" w:rsidR="00CF5845" w:rsidRPr="000249EF" w:rsidRDefault="00CF5845" w:rsidP="00CF5845">
      <w:pPr>
        <w:jc w:val="center"/>
        <w:rPr>
          <w:b/>
          <w:bCs/>
          <w:sz w:val="28"/>
          <w:szCs w:val="28"/>
        </w:rPr>
        <w:spacing w:before="0" w:after="0" w:line="240" w:lineRule="auto"/>
        <w:ind w:firstLine="0" w:left="0" w:right="0"/>
      </w:pPr>
    </w:p>
    <w:p w14:paraId="4DA99EF8" w14:textId="77777777" w:rsidR="00CF5845" w:rsidRPr="000249EF" w:rsidRDefault="00CF5845" w:rsidP="00CF5845">
      <w:pPr>
        <w:jc w:val="center"/>
        <w:rPr>
          <w:b/>
          <w:bCs/>
          <w:sz w:val="28"/>
          <w:szCs w:val="28"/>
        </w:rPr>
        <w:spacing w:before="0" w:after="0" w:line="240" w:lineRule="auto"/>
        <w:ind w:firstLine="0" w:left="0" w:right="0"/>
      </w:pPr>
    </w:p>
    <w:p w14:paraId="7F447624" w14:textId="77777777" w:rsidR="00CF5845" w:rsidRPr="000249EF" w:rsidRDefault="00CF5845" w:rsidP="00CF5845">
      <w:pPr>
        <w:rPr>
          <w:b/>
          <w:bCs/>
          <w:sz w:val="28"/>
          <w:szCs w:val="28"/>
        </w:rPr>
        <w:spacing w:before="0" w:after="0" w:line="240" w:lineRule="auto"/>
        <w:ind w:firstLine="0" w:left="0" w:right="0"/>
      </w:pPr>
    </w:p>
    <w:p w14:paraId="2FE798C8" w14:textId="77777777" w:rsidR="00CF5845" w:rsidRDefault="00CF5845" w:rsidP="00CF5845">
      <w:pPr>
        <w:rPr>
          <w:b/>
          <w:bCs/>
          <w:sz w:val="28"/>
          <w:szCs w:val="28"/>
          <w:lang w:val="en-US"/>
        </w:rPr>
        <w:spacing w:before="0" w:after="0" w:line="240" w:lineRule="auto"/>
        <w:ind w:firstLine="0" w:left="0" w:right="0"/>
      </w:pPr>
    </w:p>
    <w:p w14:paraId="1F06BF60" w14:textId="77777777" w:rsidR="009D19BF" w:rsidRPr="009D19BF" w:rsidRDefault="009D19BF" w:rsidP="00CF5845">
      <w:pPr>
        <w:rPr>
          <w:b/>
          <w:bCs/>
          <w:sz w:val="28"/>
          <w:szCs w:val="28"/>
          <w:lang w:val="en-US"/>
        </w:rPr>
        <w:spacing w:before="0" w:after="0" w:line="240" w:lineRule="auto"/>
        <w:ind w:firstLine="0" w:left="0" w:right="0"/>
      </w:pPr>
    </w:p>
    <w:p w14:paraId="62DCF630" w14:textId="77777777" w:rsidR="00CF5845" w:rsidRPr="000249EF" w:rsidRDefault="00CF5845" w:rsidP="00CF5845">
      <w:pPr>
        <w:jc w:val="center"/>
        <w:rPr>
          <w:b/>
          <w:bCs/>
          <w:sz w:val="28"/>
          <w:szCs w:val="28"/>
        </w:rPr>
        <w:spacing w:before="0" w:after="0" w:line="240" w:lineRule="auto"/>
        <w:ind w:firstLine="0" w:left="0" w:right="0"/>
      </w:pPr>
      <w:r w:rsidRPr="000249EF">
        <w:rPr>
          <w:b/>
          <w:bCs/>
          <w:rFonts w:ascii="Times New Roman" w:hAnsi="Times New Roman" w:cs="Times New Roman" w:eastAsia="Times New Roman"/>
          <w:sz w:val="28"/>
          <w:szCs w:val="28"/>
        </w:rPr>
        <w:t>2026 жыл</w:t>
      </w:r>
    </w:p>
    <w:p>
      <w:pPr>
        <w:spacing w:before="0" w:after="0" w:line="20" w:lineRule="exact"/>
        <w:sectPr w:rsidR="00343624" w:rsidRPr="008F12E6">
          <w:type w:val="nextPage"/>
          <w:pgSz w:w="11906" w:h="16838"/>
          <w:pgMar w:top="1418" w:right="850" w:bottom="1418" w:left="1701" w:header="708" w:footer="708" w:gutter="0"/>
          <w:cols w:space="720"/>
          <w:docGrid w:linePitch="360"/>
        </w:sectPr>
      </w:pPr>
    </w:p>
    <w:p>
      <w:pPr>
        <w:pStyle w:val="Title"/>
      </w:pPr>
      <w:r>
        <w:t>ENUWay жобасының міндеттемелері мен бюджеті</w:t>
      </w:r>
    </w:p>
    <w:p>
      <w:pPr>
        <w:ind w:firstLine="709"/>
      </w:pPr>
      <w:r>
        <w:t>№ 8 зертханалық жұмыс. Жұмыс көлемі, қызмет сапасы, 12 айлық бюджет және бірінші рубеждік бақылау.</w:t>
      </w:r>
    </w:p>
    <w:p>
      <w:pPr>
        <w:ind w:firstLine="709"/>
      </w:pPr>
      <w:r>
        <w:t>Орындаушылар: Альфараби, Нурай, Нурислам. Есептеу және тарифтерді қарау күні: 22 қазан 2026 жыл.</w:t>
      </w:r>
    </w:p>
    <w:p>
      <w:pPr>
        <w:pStyle w:val="Heading1"/>
      </w:pPr>
      <w:r>
        <w:t>Негізгі шешім</w:t>
      </w:r>
    </w:p>
    <w:p>
      <w:pPr>
        <w:ind w:firstLine="709"/>
      </w:pPr>
      <w:r>
        <w:t>ENUWay — университет қауымдастығына бірге жүруге арналған сапарды табуға және орынды брондауға көмектесетін жоба. Бастапқы орналастыру үшін Қазақстандағы жалға алынған VPS ұсынылады. Оның үш жылдық модельдік құны 4 357 515,78 теңге. Ұйым сервері арзанырақ болуы мүмкін, бірақ оның ресурсы мен пайдалануға рұқсаты әлі расталмаған.</w:t>
      </w:r>
    </w:p>
    <w:p>
      <w:pPr>
        <w:ind w:firstLine="709"/>
      </w:pPr>
      <w:r>
        <w:t>12 айлық негізгі бюджет 1 935 838,98 теңге, резервтері бар қаржыландыру шегі 2 143 288,76 теңге. Өсу сценарийінің түсімі шығынды жаппайды. Операциялық залалсыздыққа айына кемінде 1 783 белсенді пайдаланушы қажет. Тегін оқу пилотында түсім нөлге тең, сондықтан оны ақылы сервистің табыстылығымен шатастыруға болмайды.</w:t>
      </w:r>
    </w:p>
    <w:p>
      <w:pPr>
        <w:pStyle w:val="Heading1"/>
      </w:pPr>
      <w:r>
        <w:t>Құжатты пайдалану</w:t>
      </w:r>
    </w:p>
    <w:p>
      <w:pPr>
        <w:ind w:firstLine="709"/>
      </w:pPr>
      <w:r>
        <w:t>Бірінші бөлім жұмыс көлемі мен қабылдауды бекітеді. Екінші бөлім үш пайдаланушы сценарийінің SLI, SLO, SLA және қателер бюджетін анықтайды. Үшінші бөлім электрондық кестедегі бюджетті түсіндіреді. Төртінші бөлім орналастыруды салыстырады. Соңғы бөлімде әдістемеге сәйкестік және 1–8 апталардың материалдары берілген.</w:t>
      </w:r>
    </w:p>
    <w:p>
      <w:pPr>
        <w:ind w:firstLine="709"/>
      </w:pPr>
      <w:r>
        <w:t>Шарттық талаптар тапсырыс берушімен келісуге арналған ұсыныс болып табылады. Нақты қызмет көрсету шартына қол қойылғанға дейін олар қолданыстағы кепілдік ретінде көрсетілмейді.</w:t>
      </w:r>
    </w:p>
    <w:p>
      <w:r>
        <w:br w:type="page"/>
      </w:r>
    </w:p>
    <w:p>
      <w:pPr>
        <w:pStyle w:val="Heading1"/>
      </w:pPr>
      <w:r>
        <w:t>1 Жұмыс көлемі және нәтижелер</w:t>
      </w:r>
    </w:p>
    <w:p>
      <w:pPr>
        <w:ind w:firstLine="709"/>
      </w:pPr>
      <w:r>
        <w:t>Тараптар: орындаушы — ENUWay командасы; тапсырыс беруші — университеттің уәкілетті өкілі. Өкілдің аты және қабылдау өкілеттігі жазбаша бекітіледі. Байланыс пен өзгерістерді келісуді Альфараби үйлестіреді; талаптар мен қабылдау сценарийлерін Нурай, қауіпсіздік пен есептік көрсеткіштерді Нурислам жүргізеді.</w:t>
      </w:r>
    </w:p>
    <w:p>
      <w:pPr>
        <w:ind w:firstLine="709"/>
      </w:pPr>
      <w:r>
        <w:t>Шарттың мәні — университет пайдаланушысына сапар іздеу мен орынды брондау жолын ұсынатын MVP және оны тексеруге, тапсыруға қажетті құжаттама. Бастапқы көлем ЛЗ 4 бэклогы мен функционалдық емес талаптарына, жеткізу реті ЛЗ 5 жоспарына сүйенеді.</w:t>
      </w:r>
    </w:p>
    <w:tbl>
      <w:tblPr>
        <w:tblW w:type="auto" w:w="0"/>
        <w:tblLayout w:type="fixed"/>
        <w:tblLook w:firstColumn="1" w:firstRow="1" w:lastColumn="0" w:lastRow="0" w:noHBand="0" w:noVBand="1" w:val="04A0"/>
      </w:tblPr>
      <w:tblGrid>
        <w:gridCol w:w="4677"/>
        <w:gridCol w:w="4677"/>
      </w:tblGrid>
      <w:tr>
        <w:trPr>
          <w:tblHeader/>
        </w:trP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Нәтиже</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Қабылдау дәлелі</w:t>
            </w:r>
          </w:p>
        </w:tc>
      </w:tr>
      <w:t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D1 Пайдаланушыны тексеру</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Рұқсат етілген ENU аккаунты кіреді; жарамсыз және мерзімі өткен сілтеме қабылданбайды; сессиядан шығу тексеріледі.</w:t>
            </w:r>
          </w:p>
        </w:tc>
      </w:tr>
      <w:t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D2 Сапарды жариялау және іздеу</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Бағыт пен уақыт бойынша іздеу дұрыс нәтиже немесе бос тізім береді; міндетті өрістер тексеріледі.</w:t>
            </w:r>
          </w:p>
        </w:tc>
      </w:tr>
      <w:t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D3 Орынды брондау</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Бронь сақталады; бір орынға қатар сұраулар артық бронь жасамайды; орын жоқ болса түсінікті жауап беріледі.</w:t>
            </w:r>
          </w:p>
        </w:tc>
      </w:tr>
      <w:t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D4 Қауіпсіздік пен пайдалану құжаттары</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Деректерге қолжетімділік, резервтік көшіру, қалпына келтіру және инциденттерді тіркеу тәртібі сипатталған.</w:t>
            </w:r>
          </w:p>
        </w:tc>
      </w:tr>
      <w:tr>
        <w:tc>
          <w:tcPr>
            <w:tcW w:type="dxa" w:w="351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D5 Басқару артефактілері</w:t>
            </w:r>
          </w:p>
        </w:tc>
        <w:tc>
          <w:tcPr>
            <w:tcW w:type="dxa" w:w="583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Талаптар, жоспар, бағалау, RAID журналы, осы есеп және формулалары бар бюджет бір репозиторийде ашылады.</w:t>
            </w:r>
          </w:p>
        </w:tc>
      </w:tr>
    </w:tbl>
    <w:p>
      <w:pPr>
        <w:spacing w:after="0"/>
      </w:pPr>
    </w:p>
    <w:p>
      <w:pPr>
        <w:ind w:firstLine="709"/>
      </w:pPr>
      <w:r>
        <w:t>MVP көлемі US-01–US-12 және US-17 тарихтарын қамтиды: ENU тексеруі, профиль, іздеу, карточка, сапар құру, орын мен шығын үлесі, қосылу сұрауы, жүргізушінің шешімі, менің сапарларым, бас тарту, жабу және мәртебе хабарламалары. Қабылдау әр тарихтың ЛЗ 4-тегі оң және теріс критерийімен тексеріледі. US-13–US-16 кейінгі релизге, US-18 үштілді интерфейс бөлек релизге жатады. Ену құқығы мен дербес деректерді қорғау MVP үшін де сақталады.</w:t>
      </w:r>
    </w:p>
    <w:p>
      <w:pPr>
        <w:ind w:firstLine="709"/>
      </w:pPr>
      <w:r>
        <w:t>Көлемге кірмейді: мобильдік қосымша, онлайн төлем, банктік интеграция, жасанды интеллект ұсынымдары, маршрутты күрделі оңтайландыру және тәулік бойы кезекшілік. Жүргізушіні лицензиялау мен тасымалдау қызметінің заңдық міндеттемелері бұл бағдарламалық жұмыс көлеміне кірмейді; пилот алдында университет олардың қолданылуын жеке бағалайды.</w:t>
      </w:r>
    </w:p>
    <w:p>
      <w:r>
        <w:br w:type="page"/>
      </w:r>
    </w:p>
    <w:p>
      <w:pPr>
        <w:pStyle w:val="Heading1"/>
      </w:pPr>
      <w:r>
        <w:t>2 Қабылдау және өзгерістер тәртібі</w:t>
      </w:r>
    </w:p>
    <w:p>
      <w:pPr>
        <w:ind w:firstLine="709"/>
      </w:pPr>
      <w:r>
        <w:t>Әр инкремент үшін команда GitHub-та нұсқаны белгілеп, нәтижелерге сілтеме, тест хаттамасы және белгілі ақаулар тізімі бар қабылдау сұрауын береді. Тапсырыс беруші 5 жұмыс күні ішінде қабылдайды немесе критерийге сілтеме жасалған дәлелді ескерту береді. Жауаптың болмауы автоматты қабылдау болып саналмайды; Альфараби келісілген байланыс арнасымен мәселені көтереді.</w:t>
      </w:r>
    </w:p>
    <w:p>
      <w:pPr>
        <w:ind w:firstLine="709"/>
      </w:pPr>
      <w:r>
        <w:t>Нурай қабылдау хаттамасында D1–D5 бойынша нәтиже мен дәлелді тіркейді. Дерек жоғалту, бөтен аккаунтқа кіру және артық бронь сияқты сыни ақаулар қабылдауды тоқтатады. Қалған ақаулар тапсырыс беруші жазбаша қабылдаған түзету мерзімімен ғана қалдырылуы мүмкін. Түзетілген нәтижелер сол критериймен қайта тексеріледі.</w:t>
      </w:r>
    </w:p>
    <w:p>
      <w:pPr>
        <w:ind w:firstLine="709"/>
      </w:pPr>
      <w:r>
        <w:t>Өзгеріс GitHub issue ретінде тіркеледі: себеп, күтілетін нәтиже, қабылдау критерийі, еңбек бағасы, тәуелділік және мерзімге ықпал. Команда әсерін бағалайды, тапсырыс беруші көлемді бекітеді. Мерзім өзгермесе, жаңа жұмыс тек салыстырмалы еңбек көлеміндегі басқа жұмыстың орнына енгізіледі. Қауіпсіздік пен міндетті деректерді қорғау шаралары айырбастан шығарылмайды. Оларды қысқартудың орнына көлем немесе мерзім қайта келісіледі.</w:t>
      </w:r>
    </w:p>
    <w:p>
      <w:pPr>
        <w:ind w:firstLine="709"/>
      </w:pPr>
      <w:r>
        <w:t>Тапсырыс беруші ENU аккаунтын тексеру ережесін, сынақ пайдаланушыларын, рұқсат етілген деректерді, жауапты өкілді және қабылдау уақытын береді. Кідіріс тәуелділік журналына түседі; команда оны жасырын түрде өз мерзіміне сіңірмейді. ЛЗ 5-тегі оқу инкременттері 44, 46 және 42 сағаттан тұрады. Осы есептің 12 айлық қаржы кезеңі олардың мерзімін автоматты өзгертпейді.</w:t>
      </w:r>
    </w:p>
    <w:p>
      <w:pPr>
        <w:ind w:firstLine="709"/>
      </w:pPr>
      <w:r>
        <w:t>Нәтижеге құқықтар: команда өз авторлығын сақтайды және тапсырыс берушіге келісілген оқу пилотында кодты пайдалану, өзгерту және қолдау құқығын беруді ұсынады. Айрықша құқықты беру бөлек жазбаша келісімді талап етеді. Үшінші тарап кітапханалары өз лицензияларымен қолданылады; нақты тізім тапсыруға дейін тексеріледі. Дербес деректерге меншік құқығын код лицензиясымен беру қарастырылмайды.</w:t>
      </w:r>
    </w:p>
    <w:p>
      <w:pPr>
        <w:pStyle w:val="Heading1"/>
      </w:pPr>
      <w:r>
        <w:t>Міндеттеме болып саналмайтын жұмыстар</w:t>
      </w:r>
    </w:p>
    <w:p>
      <w:pPr>
        <w:ind w:firstLine="709"/>
      </w:pPr>
      <w:r>
        <w:t>Тапсырудан кейінгі шексіз қолдау, жаңа функцияларды тегін әзірлеу және ақаулар мүлде болмайтынына кепілдік берілмейді. ЛЗ 8 бюджетінде көрсетілген қолдау сағаттары — болашақ пайдалану шығынының бағасы, автоматты қолдау шарты емес. Өндірістік орта, ақылы модель және ұзақмерзімді қолдау бөлек бекітіледі.</w:t>
      </w:r>
    </w:p>
    <w:p>
      <w:r>
        <w:br w:type="page"/>
      </w:r>
    </w:p>
    <w:p>
      <w:pPr>
        <w:pStyle w:val="Heading1"/>
      </w:pPr>
      <w:r>
        <w:t>3 Пайдаланушы сценарийлері және сапа көрсеткіштері</w:t>
      </w:r>
    </w:p>
    <w:p>
      <w:pPr>
        <w:ind w:firstLine="709"/>
      </w:pPr>
      <w:r>
        <w:t>SLI — барлық жарамды пайдаланушы әрекеттерінің ішіндегі уақыт шегінде дұрыс аяқталған әрекеттердің үлесі. SLO — ішкі мақсат, SLA — тапсырыс берушімен келісілетін жұмсағырақ міндеттеме. Өлшеу кезеңі — күнтізбелік ай, уақыт белдеуі Asia/Qyzylorda; техникалық өлшеу тәулік бойы жүреді.</w:t>
      </w:r>
    </w:p>
    <w:tbl>
      <w:tblPr>
        <w:tblW w:type="auto" w:w="0"/>
        <w:tblLayout w:type="fixed"/>
        <w:tblLook w:firstColumn="1" w:firstRow="1" w:lastColumn="0" w:lastRow="0" w:noHBand="0" w:noVBand="1" w:val="04A0"/>
      </w:tblPr>
      <w:tblGrid>
        <w:gridCol w:w="3118"/>
        <w:gridCol w:w="3118"/>
        <w:gridCol w:w="3118"/>
      </w:tblGrid>
      <w:tr>
        <w:trPr>
          <w:tblHeader/>
        </w:trPr>
        <w:tc>
          <w:tcPr>
            <w:tcW w:type="dxa" w:w="5272"/>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Сценарий және шекарасы</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Ішкі SLO</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Ұсынылатын SLA</w:t>
            </w:r>
          </w:p>
        </w:tc>
      </w:tr>
      <w:tr>
        <w:tc>
          <w:tcPr>
            <w:tcW w:type="dxa" w:w="5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Дайын жарамды кіру сілтемесін басудан жеке бет ашылғанға дейін</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99,5% ≤ 3 000 мс</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99,0% ≤ 5 000 мс</w:t>
            </w:r>
          </w:p>
        </w:tc>
      </w:tr>
      <w:tr>
        <w:tc>
          <w:tcPr>
            <w:tcW w:type="dxa" w:w="5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Жарамды іздеу сұрауын жіберуден сапарлар немесе дұрыс бос нәтиже көрсетілгенге дейін</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99,5% ≤ 800 мс</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99,0% ≤ 1 500 мс</w:t>
            </w:r>
          </w:p>
        </w:tc>
      </w:tr>
      <w:tr>
        <w:tc>
          <w:tcPr>
            <w:tcW w:type="dxa" w:w="52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Расталған пайдаланушы қосылу сұрауын жіберуден сақталған Pending сұрауы не дұрыс бизнес бас тартуы көрсетілгенге дейін</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99,9% ≤ 2 000 мс</w:t>
            </w:r>
          </w:p>
        </w:tc>
        <w:tc>
          <w:tcPr>
            <w:tcW w:type="dxa" w:w="204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 99,5% ≤ 3 000 мс</w:t>
            </w:r>
          </w:p>
        </w:tc>
      </w:tr>
    </w:tbl>
    <w:p>
      <w:pPr>
        <w:spacing w:after="0"/>
      </w:pPr>
    </w:p>
    <w:p>
      <w:pPr>
        <w:ind w:firstLine="709"/>
      </w:pPr>
      <w:r>
        <w:t>Формула: SLI = дұрыс және уақытында аяқталған жарамды операциялар / барлық жарамды операциялар × 100%. Қате код, тайм-аут, тәуелді сервис ақауы немесе уақыт шегінен асқан HTTP 200 жауабы сәтсіз нәтиже болып есептеледі. Орын шынымен біткенде дұрыс 409 жауабы бронь сценарийінің дұрыс бизнес нәтижесі саналады; қате 409 сәтсіздік болып қалады.</w:t>
      </w:r>
    </w:p>
    <w:p>
      <w:pPr>
        <w:ind w:firstLine="709"/>
      </w:pPr>
      <w:r>
        <w:t>Жарамсыз кіріс, мерзімі өткен сілтеме және нақты рұқсаты жоқ аккаунтқа дұрыс бас тарту бөлгішке кірмейді. Жарамды пайдаланушыға қате 401 не 403 қайтарылса, бұл сәтсіздік. Жүргізушінің US-09 бойынша шешім күтуі 2 секундқа кірмейді: US-08 жүйеде Pending сұрауының сақталуын өлшейді. Кіру сілтемесін поштамен жеткізу бөлек бақыланады.</w:t>
      </w:r>
    </w:p>
    <w:p>
      <w:pPr>
        <w:ind w:firstLine="709"/>
      </w:pPr>
      <w:r>
        <w:t>Өлшем клиент пен API оқиғаларын correlation_id арқылы байланыстырады. Бір логикалық әрекеттің автоматты қайталаулары бөлек сәтті операция ретінде көбейтілмейді; жалпы уақыт бірінші әрекеттен соңғы жауапқа дейін алынады. Журналда басталу, аяқталу, нәтиже және сценарий түрі сақталады, токен мен жеке хабар мазмұны жазылмайды.</w:t>
      </w:r>
    </w:p>
    <w:p>
      <w:pPr>
        <w:ind w:firstLine="709"/>
      </w:pPr>
      <w:r>
        <w:t>Айда жарамды операция болмаса, SLI анықталмаған деп көрсетіледі, 100% деп жарияланбайды. 200 қатар пайдаланушы кезіндегі тексеру пилотқа дейін орындалатын қабылдау талабы; осы есеп орындалған жүктемелік тест нәтижесі болып саналмайды.</w:t>
      </w:r>
    </w:p>
    <w:p>
      <w:r>
        <w:br w:type="page"/>
      </w:r>
    </w:p>
    <w:p>
      <w:pPr>
        <w:pStyle w:val="Heading1"/>
      </w:pPr>
      <w:r>
        <w:t>4 Қателер бюджеті және SLA қолданылуы</w:t>
      </w:r>
    </w:p>
    <w:p>
      <w:pPr>
        <w:ind w:firstLine="709"/>
      </w:pPr>
      <w:r>
        <w:t>Қателер бюджеті операция санымен есептеледі: B = floor(N × (1 − SLO)), мұндағы N — сол айдағы жарамды операциялар саны. Төмендегі сандар есептеу мысалы ғана; нақты эксплуатациялық журнал емес. Ай ішінде операция саны өзгерсе, бюджет те сол бөлгішпен қайта есептеледі.</w:t>
      </w:r>
    </w:p>
    <w:tbl>
      <w:tblPr>
        <w:tblW w:type="auto" w:w="0"/>
        <w:tblLayout w:type="fixed"/>
        <w:tblLook w:firstColumn="1" w:firstRow="1" w:lastColumn="0" w:lastRow="0" w:noHBand="0" w:noVBand="1" w:val="04A0"/>
      </w:tblPr>
      <w:tblGrid>
        <w:gridCol w:w="2339"/>
        <w:gridCol w:w="2339"/>
        <w:gridCol w:w="2339"/>
        <w:gridCol w:w="2339"/>
      </w:tblGrid>
      <w:tr>
        <w:trPr>
          <w:tblHeader/>
        </w:trP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Сценарий</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Мысал N</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SLO бюджеті</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SLA шегі</w:t>
            </w:r>
          </w:p>
        </w:tc>
      </w:tr>
      <w:t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Кіру</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100 000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500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1 000</w:t>
            </w:r>
          </w:p>
        </w:tc>
      </w:tr>
      <w:t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Іздеу</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200 000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1 000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2 000</w:t>
            </w:r>
          </w:p>
        </w:tc>
      </w:tr>
      <w:tr>
        <w:tc>
          <w:tcPr>
            <w:tcW w:type="dxa" w:w="340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Брондау</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20 000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20</w:t>
            </w:r>
          </w:p>
        </w:tc>
        <w:tc>
          <w:tcPr>
            <w:tcW w:type="dxa" w:w="1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100</w:t>
            </w:r>
          </w:p>
        </w:tc>
      </w:tr>
    </w:tbl>
    <w:p>
      <w:pPr>
        <w:spacing w:after="0"/>
      </w:pPr>
    </w:p>
    <w:p>
      <w:pPr>
        <w:ind w:firstLine="709"/>
      </w:pPr>
      <w:r>
        <w:t>Мысалы, кірудің 200 сәтсіз әрекеті 500 әрекеттік бюджеттің 40%-ын жұмсайды. Брондаудың 5 сәтсіз әрекеті 20 әрекеттік бюджеттің 25%-ын жұмсайды. Бұл операцияға негізделген SLI болғандықтан, бюджетті жай ғана тоқтау минутына айналдыруға болмайды. Әдістемедегі уақытқа негізделген мысал басқа бөлгішті қолданады.</w:t>
      </w:r>
    </w:p>
    <w:p>
      <w:pPr>
        <w:ind w:firstLine="709"/>
      </w:pPr>
      <w:r>
        <w:t>Бюджеттің 50%-ы жұмсалғанда Нурислам ескерту береді, Альфараби тәуекелі жоғары функциялық релиздерді тоқтатады және қалған бюджетке түзету жоспарын бекітеді. 100%-ы жұмсалғанда жаңа функциялық релиздер тоқтайды; тек қалпына келтіру мен қауіпсіздік өзгерістеріне рұқсат етіледі. Қажет болса соңғы тұрақты нұсқаға қайтару орындалады.</w:t>
      </w:r>
    </w:p>
    <w:p>
      <w:pPr>
        <w:ind w:firstLine="709"/>
      </w:pPr>
      <w:r>
        <w:t>Соңғы 1 сағат ішінде айлық бюджеттің кемінде 5%-ы жұмсалса, жедел ескерту жасалады. Әр инциденттің уақыты, иесі, әсер еткен операциялары және түзетуі тіркеледі. Функциялық релизді қайта бастау үшін соңғы 7 күндегі SLI мақсатқа сай болуы, ағымдағы айдың қалған бюджеті оң болуы және Альфараби шешімді тіркеуі қажет. Бюджет тек жаңа айда жаңарады; инцидентті журналдан өшіру оны қалпына келтірмейді.</w:t>
      </w:r>
    </w:p>
    <w:p>
      <w:pPr>
        <w:ind w:firstLine="709"/>
      </w:pPr>
      <w:r>
        <w:t>SLA өлшемі тәулік бойы жүреді, бірақ ұсынылатын қолдау терезесі жұмыс күндері 09:00–18:00. Сыни хабарға алғашқы жауап — келесі 1 қолдау сағаты ішінде, қалпына келтіру мақсаты — 8 қолдау сағаты. Тәулік бойы кезекшілік бұл бюджетке кірмейді. SLA бұзылса, команда 5 жұмыс күні ішінде себептер мен түзету жоспарын береді; тапсырыс беруші оны 5 жұмыс күнінде қарайды. Тегін пилотта қаржылық өтемақы қарастырылмайды; ақылы кезеңнің өтемақысы бөлек шартпен бекітіледі.</w:t>
      </w:r>
    </w:p>
    <w:p>
      <w:r>
        <w:br w:type="page"/>
      </w:r>
    </w:p>
    <w:p>
      <w:pPr>
        <w:pStyle w:val="Heading1"/>
      </w:pPr>
      <w:r>
        <w:t>5 Он екі айлық бюджет және деректер негізі</w:t>
      </w:r>
    </w:p>
    <w:p>
      <w:pPr>
        <w:ind w:firstLine="709"/>
      </w:pPr>
      <w:r>
        <w:t>Есептік кезең — 2026 жылғы қарашадан 2027 жылғы қазанға дейін. Электрондық файлда әр ай жеке бағанда көрсетілген; қорытынды бағандар формуламен есептеледі. Бюджет экономикалық еңбек құнын көрсетеді: студенттердің нақты жалақы алғанын немесе шот төленгенін білдірмейді.</w:t>
      </w:r>
    </w:p>
    <w:tbl>
      <w:tblPr>
        <w:tblW w:type="auto" w:w="0"/>
        <w:tblLayout w:type="fixed"/>
        <w:tblLook w:firstColumn="1" w:firstRow="1" w:lastColumn="0" w:lastRow="0" w:noHBand="0" w:noVBand="1" w:val="04A0"/>
      </w:tblPr>
      <w:tblGrid>
        <w:gridCol w:w="4677"/>
        <w:gridCol w:w="4677"/>
      </w:tblGrid>
      <w:tr>
        <w:trPr>
          <w:tblHeader/>
        </w:trP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Бастапқы параметр</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Мәні және негізі</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Әзірлеу көлемі</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132 сағат: ЛЗ 5-тегі 88 техникалық және 44 басқару сағаты.</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Сағаттық бағалар</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IT 5 319,225 ₸; PM 4 095,48125 ₸. ЛЗ 3 жалақы параметрлері / 160 сағат; жаңа статистикалық өлшем емес.</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Қолдау және дамыту</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Айына 8 және 4 IT сағат. ЛЗ 3 бірінші жыл параметрлері.</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MAU өсуі</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100, 150, 250, 400, 600, 800, 1 000, 1 200, 1 400, 1 600, 1 800, 2 000. Жоспарлық допущение.</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Бірлік және түсім</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Бірегей аяқталған ақылы бронь; бір MAU-айға орташа 1 бронь, 60 ₸ комиссия. Ақылы модель бекітілмеген.</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Айнымалы шығын</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8 ₸ / MAU-ай — байланыс пен қосымша трафикке арналған допущение.</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VPS және резервтік көшірме</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VPS 23 040 ₸/ай — жарияланған тариф; бөлек көшірме 5 000 ₸/ай — допущение.</w:t>
            </w:r>
          </w:p>
        </w:tc>
      </w:tr>
      <w:tr>
        <w:tc>
          <w:tcPr>
            <w:tcW w:type="dxa" w:w="334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Бастапқы баптау</w:t>
            </w:r>
          </w:p>
        </w:tc>
        <w:tc>
          <w:tcPr>
            <w:tcW w:type="dxa" w:w="600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Өндірістік көшіру 16 IT сағат, 85 107,60 ₸; оқу көлемінен бөлек болашақ операциялық жұмыс.</w:t>
            </w:r>
          </w:p>
        </w:tc>
      </w:tr>
    </w:tbl>
    <w:p>
      <w:pPr>
        <w:spacing w:after="0"/>
      </w:pPr>
    </w:p>
    <w:p>
      <w:pPr>
        <w:ind w:firstLine="709"/>
      </w:pPr>
      <w:r>
        <w:t>MAU — айда белсенді болған бірегей пайдаланушы саны. Бір сапардың жүргізушісі мен жолаушысын бір ақылы бронь үшін екі рет есептеуге болмайды. Комиссияны есептеу кілті — бірегей аяқталған бронь ID. Жиіліктің 1 болуы әр адамның дәл бір рет сапар жасағанын емес, жоспарлық орташа шаманы білдіреді.</w:t>
      </w:r>
    </w:p>
    <w:p>
      <w:pPr>
        <w:ind w:firstLine="709"/>
      </w:pPr>
      <w:r>
        <w:t>ЛЗ 3 бастапқы 67,5 сағаттық оқу бағасы ЛЗ 5-тегі толық 132 сағатпен ауыстырылды. Сол себепті бұрынғы ROI мен үш жылдық сомалар осы модельдің нәтижесі ретінде қайталанбайды. Әзірлеудің екі айдағы төлемдік бөлінуі оқу релиздерінің мерзімін өзгерту емес, қаржыландыру сценарийі.</w:t>
      </w:r>
    </w:p>
    <w:p>
      <w:r>
        <w:br w:type="page"/>
      </w:r>
    </w:p>
    <w:p>
      <w:pPr>
        <w:pStyle w:val="Heading1"/>
      </w:pPr>
      <w:r>
        <w:t>6 Бюджет нәтижесі және резервтер</w:t>
      </w:r>
    </w:p>
    <w:tbl>
      <w:tblPr>
        <w:tblW w:type="auto" w:w="0"/>
        <w:tblLayout w:type="fixed"/>
        <w:tblLook w:firstColumn="1" w:firstRow="1" w:lastColumn="0" w:lastRow="0" w:noHBand="0" w:noVBand="1" w:val="04A0"/>
      </w:tblPr>
      <w:tblGrid>
        <w:gridCol w:w="4677"/>
        <w:gridCol w:w="4677"/>
      </w:tblGrid>
      <w:tr>
        <w:trPr>
          <w:tblHeader/>
        </w:trP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Көрсеткіш</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Нәтиже</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12 айлық негізгі шығын</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1 935 838,98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Белгілі тәуекел резерві 30 сағат</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159 576,75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Басқарушылық резерв 9 сағат</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47 873,03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Қаржыландырудың резервті шегі</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2 143 288,76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Жоспарлық түсім</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678 000,00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Негізгі жылдық нәтиже</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−1 257 838,98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Ең үлкен жинақталған тапшылық</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1 271 697,58 ₸</w:t>
            </w:r>
          </w:p>
        </w:tc>
      </w:tr>
      <w:tr>
        <w:tc>
          <w:tcPr>
            <w:tcW w:type="dxa" w:w="612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Резервпен бастапқы қаржы қажеттілігі</w:t>
            </w:r>
          </w:p>
        </w:tc>
        <w:tc>
          <w:tcPr>
            <w:tcW w:type="dxa" w:w="323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1 479 148 ₸ жоғарыға дөңгелектелген</w:t>
            </w:r>
          </w:p>
        </w:tc>
      </w:tr>
    </w:tbl>
    <w:p>
      <w:pPr>
        <w:spacing w:after="0"/>
      </w:pPr>
    </w:p>
    <w:p>
      <w:pPr>
        <w:ind w:firstLine="709"/>
      </w:pPr>
      <w:r>
        <w:t>Негізгі шығынға әзірлеу, көшіру, VPS, сақтық көшірме, домен, қолдау, дамыту және MAU-ға тәуелді шығын кіреді. Әр айдағы сомалар тиынға дейін дөңгелектеледі. Жылдық қорытынды — айлық шығындардың қосындысы; кестедегі бақылау айырмалары нөлге тең болуы керек.</w:t>
      </w:r>
    </w:p>
    <w:p>
      <w:pPr>
        <w:ind w:firstLine="709"/>
      </w:pPr>
      <w:r>
        <w:t>ЛЗ 7-ден алынған 30 сағат белгілі тәуекел резервін Альфараби басқарады; 9 сағат белгісіз жағдай резервін тапсырыс берушінің уәкілетті демеушісі бекітеді. Екі резерв негізгі шығынға автоматты түрде қосылып жұмсалды деп көрсетілмейді. Оларды пайдалану себебі мен қалған сомасы жеке журналда тіркеледі.</w:t>
      </w:r>
    </w:p>
    <w:p>
      <w:pPr>
        <w:ind w:firstLine="709"/>
      </w:pPr>
      <w:r>
        <w:t>Бастапқы қаржыландыруға жыл соңындағы тапшылық қана емес, айлар арасындағы ең терең жинақталған тапшылық әсер етеді. Сондықтан 1 479 148 теңгелік қажеттілік ең үлкен тапшылық пен резервтің қосындысынан жоғарыға дөңгелектеліп алынды. Бұл шығын шегінен бөлек ақша ағымының көрсеткіші.</w:t>
      </w:r>
    </w:p>
    <w:p>
      <w:pPr>
        <w:ind w:firstLine="709"/>
      </w:pPr>
      <w:r>
        <w:t>Сервер бағасы үшін жарияланған VPS сомасы соңғы төленетін баға ретінде алынған; салық мәртебесі сатып алуға дейін нақтыланады. Freedom Cloud калькуляторы ҚҚС-сыз көрсететін бағаға 16% коэффициент қолданылған. Расталмаған тарифті екі рет ҚҚС-пен көбейтуге болмайды. Ешбір бұлттық қызмет сатып алынған жоқ.</w:t>
      </w:r>
    </w:p>
    <w:p>
      <w:pPr>
        <w:ind w:firstLine="709"/>
      </w:pPr>
      <w:r>
        <w:t>Тексеру кезінде комиссия параметрін өзгерткенде залалсыздық формулалары қайта есептелді және бастапқы мәнге қайтарылды. Нөлдік комиссия жағдайында ақылы залалсыздық шегі болмайды. Жоспарлық кіріс кепілдендірілген қаржы көзі болып саналмайды.</w:t>
      </w:r>
    </w:p>
    <w:p>
      <w:r>
        <w:br w:type="page"/>
      </w:r>
    </w:p>
    <w:p>
      <w:pPr>
        <w:pStyle w:val="Heading1"/>
      </w:pPr>
      <w:r>
        <w:t>7 Юнит экономика және қолмен өңдеумен салыстыру</w:t>
      </w:r>
    </w:p>
    <w:p>
      <w:pPr>
        <w:ind w:firstLine="709"/>
      </w:pPr>
      <w:r>
        <w:t>Жылдық көлем 11 300 пайдаланушы-айға тең, орташа MAU 941,67. Бір пайдаланушы-айдың толық өзіндік құны = 1 935 838,98 / 11 300 = 171,31 ₸. Жиілік 1 болғандықтан, бір аяқталған броньдің құны да 171,31 ₸. Жиілік өзгерсе, бұл екі көрсеткіш тең болмайды.</w:t>
      </w:r>
    </w:p>
    <w:p>
      <w:pPr>
        <w:ind w:firstLine="709"/>
      </w:pPr>
      <w:r>
        <w:t>Тұрақты айлық операциялық шығын 92 669,87 ₸. Бір MAU-айдың үлестік маржасы 60 − 8 = 52 ₸. Операциялық залалсыздық = ceiling(92 669,8667 / 52) = 1 783 MAU. Бұл шек әзірлеуге жұмсалған бастапқы қаражатты өтемейді.</w:t>
      </w:r>
    </w:p>
    <w:p>
      <w:pPr>
        <w:ind w:firstLine="709"/>
      </w:pPr>
      <w:r>
        <w:t>Бастапқы әзірлеу мен көшіру сомасы 733 400,58 ₸. Оны 12 айда өтеу үшін тұрақты MAU шегі = ceiling((92 669,8667 + 733 400,58 / 12) / 52) = 2 958. Резервті де қамтитын шек 3 290 MAU. Бұл тұрақты аудитория сценарийлері; ай сайын өсетін негізгі жоспар осы шекке жыл бойы жетеді дегенді білдірмейді.</w:t>
      </w:r>
    </w:p>
    <w:p>
      <w:pPr>
        <w:pStyle w:val="Heading1"/>
      </w:pPr>
      <w:r>
        <w:t>Автоматтандырудың тиімділік шегі</w:t>
      </w:r>
    </w:p>
    <w:p>
      <w:pPr>
        <w:ind w:firstLine="709"/>
      </w:pPr>
      <w:r>
        <w:t>Допущение: бір броньді адам қолмен өңдеуге 10 минут жұмсайды. ЛЗ 3-тегі PM ставкасы бойынша бір өңдеудің құны 4 095,48125 × 10 / 60 = 682,58 ₸. Бір операцияға шаққандағы 8 теңгелік айнымалы автоматтандыру шығынын алып тастағанда салыстырмалы үнем 674,58 ₸ болады.</w:t>
      </w:r>
    </w:p>
    <w:p>
      <w:pPr>
        <w:ind w:firstLine="709"/>
      </w:pPr>
      <w:r>
        <w:t>Операциялық автоматтандыру қолмен өңдеуден ceiling(92 669,8667 / 674,5802) = 138 MAU кезінде арзан. Бастапқы шығынды 12 айға бөлген толық салыстыруда шек 228 MAU. Қолмен өңдеуге кететін 10 минут нақты хронометражбен расталмаған, сондықтан бұл басқарушылық допущение ретінде тексерілуі керек.</w:t>
      </w:r>
    </w:p>
    <w:p>
      <w:pPr>
        <w:ind w:firstLine="709"/>
      </w:pPr>
      <w:r>
        <w:t>138 және 1 783 екі түрлі сұраққа жауап береді: біріншісі қолмен салыстырғандағы үнемді, екіншісі комиссиялық түсімнің операциялық шығынды жабуын көрсетеді. Тегін пилотта автоматтандыру уақытты үнемдесе де, коммерциялық пайда әкелмейді.</w:t>
      </w:r>
    </w:p>
    <w:p>
      <w:pPr>
        <w:ind w:firstLine="709"/>
      </w:pPr>
      <w:r>
        <w:t>Соңғы айда операциялық құн 53,94 ₸/MAU-ға төмендейді, бірақ жылдық орташа толық құн 171,31 ₸ болып қалады. Алғашқы айлардағы аз аудитория мен бастапқы шығынды жасыру үшін тек соңғы айдың көрсеткішін қолдануға болмайды.</w:t>
      </w:r>
    </w:p>
    <w:p>
      <w:r>
        <w:br w:type="page"/>
      </w:r>
    </w:p>
    <w:p>
      <w:pPr>
        <w:pStyle w:val="Heading1"/>
      </w:pPr>
      <w:r>
        <w:t>8 Орналастырудың үш жылдық құны</w:t>
      </w:r>
    </w:p>
    <w:p>
      <w:pPr>
        <w:ind w:firstLine="709"/>
      </w:pPr>
      <w:r>
        <w:t>Салыстыру көкжиегі 36 ай, тұрақты MAU 1 000, ортақ ең аз ресурс 4 vCPU, 8 GB RAM және 200 GB диск. Инфляция, өсу және дисконттау есепке алынбаған, қалдық құн нөл. Барлық нұсқада бірдей әзірлеу, домен, 4 сағаттық айлық дамыту, көшірме және айнымалы шығын бар. Бір сервердің болуы жоғары қолжетімділік кластерін білдірмейді.</w:t>
      </w:r>
    </w:p>
    <w:tbl>
      <w:tblPr>
        <w:tblW w:type="auto" w:w="0"/>
        <w:tblLayout w:type="fixed"/>
        <w:tblLook w:firstColumn="1" w:firstRow="1" w:lastColumn="0" w:lastRow="0" w:noHBand="0" w:noVBand="1" w:val="04A0"/>
      </w:tblPr>
      <w:tblGrid>
        <w:gridCol w:w="3118"/>
        <w:gridCol w:w="3118"/>
        <w:gridCol w:w="3118"/>
      </w:tblGrid>
      <w:tr>
        <w:trPr>
          <w:tblHeader/>
        </w:trP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Нұсқа</w:t>
            </w:r>
          </w:p>
        </w:tc>
        <w:tc>
          <w:tcPr>
            <w:tcW w:type="dxa" w:w="4989"/>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Негіз және ерекшелік</w:t>
            </w:r>
          </w:p>
        </w:tc>
        <w:tc>
          <w:tcPr>
            <w:tcW w:type="dxa" w:w="2211"/>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TCO 36 ай</w:t>
            </w:r>
          </w:p>
        </w:tc>
      </w:tr>
      <w:t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Қоғамдық бұлт</w:t>
            </w:r>
          </w:p>
        </w:tc>
        <w:tc>
          <w:tcPr>
            <w:tcW w:type="dxa" w:w="498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Freedom Cloud: 44 000 ₸ ҚҚС-сыз, 51 040 ₸/ай ҚҚС-пен; қолдау 6 сағ/ай.</w:t>
            </w:r>
          </w:p>
        </w:tc>
        <w:tc>
          <w:tcPr>
            <w:tcW w:type="dxa" w:w="221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4 939 977,78 ₸</w:t>
            </w:r>
          </w:p>
        </w:tc>
      </w:tr>
      <w:t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Жеке инфрақұрылым</w:t>
            </w:r>
          </w:p>
        </w:tc>
        <w:tc>
          <w:tcPr>
            <w:tcW w:type="dxa" w:w="498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Сервер платформасы 1 900 000 ₸; UPS және қосымша жабдықпен 2 120 000 ₸. Қолдау 12 сағ/ай.</w:t>
            </w:r>
          </w:p>
        </w:tc>
        <w:tc>
          <w:tcPr>
            <w:tcW w:type="dxa" w:w="221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7 262 682,98 ₸</w:t>
            </w:r>
          </w:p>
        </w:tc>
      </w:tr>
      <w:t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Жалға алынған VPS</w:t>
            </w:r>
          </w:p>
        </w:tc>
        <w:tc>
          <w:tcPr>
            <w:tcW w:type="dxa" w:w="498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Hoster Cloud 4-8-200: 23 040 ₸/ай; ашық бағдарламалық стек; қолдау 8 сағ/ай.</w:t>
            </w:r>
          </w:p>
        </w:tc>
        <w:tc>
          <w:tcPr>
            <w:tcW w:type="dxa" w:w="221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4 357 515,78 ₸</w:t>
            </w:r>
          </w:p>
        </w:tc>
      </w:tr>
      <w:tr>
        <w:tc>
          <w:tcPr>
            <w:tcW w:type="dxa" w:w="215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Тапсырыс беруші сервері</w:t>
            </w:r>
          </w:p>
        </w:tc>
        <w:tc>
          <w:tcPr>
            <w:tcW w:type="dxa" w:w="498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ENU ресурс үлесі 8 000 ₸/ай — допущение; қолдау 10 сағ/ай. Рұқсат расталмаған.</w:t>
            </w:r>
          </w:p>
        </w:tc>
        <w:tc>
          <w:tcPr>
            <w:tcW w:type="dxa" w:w="221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4 220 336,88 ₸</w:t>
            </w:r>
          </w:p>
        </w:tc>
      </w:tr>
    </w:tbl>
    <w:p>
      <w:pPr>
        <w:spacing w:after="0"/>
      </w:pPr>
    </w:p>
    <w:p>
      <w:pPr>
        <w:ind w:firstLine="709"/>
      </w:pPr>
      <w:r>
        <w:t>TCO = ортақ әзірлеу + бастапқы баптау + жабдық + 36 × айлық инфрақұрылым мен еңбек + үш жылдық домен және жөндеу. Жеке серверде сатып алу құны бір рет қосылады, амортизация екінші рет қосылмайды. Электр шығыны 0,15 kW × 730 сағат × 45 ₸ × 1,5, оған желі 10 000 ₸/ай қосылады; бұл тарифтік допущениелер нақты шотпен расталуы тиіс.</w:t>
      </w:r>
    </w:p>
    <w:p>
      <w:pPr>
        <w:ind w:firstLine="709"/>
      </w:pPr>
      <w:r>
        <w:t>Тапсырыс беруші сервері VPS-тен 137 178,90 ₸ арзан, бірақ жазбаша бөлінген ресурс, әкімші, сақтық көшірме және қолжетімділік тәртібі жоқ. Сондықтан дәл қазір VPS ұсынылады; ENU сервері расталса шешім қайта қаралады. Қоғамдық бұлт IaaS болып саналады, дерекқорды толық басқару қызметі бағаға автоматты кірмейді.</w:t>
      </w:r>
    </w:p>
    <w:p>
      <w:pPr>
        <w:ind w:firstLine="709"/>
      </w:pPr>
      <w:r>
        <w:t>Жоба талабы — негізгі дербес деректер мен резервтік көшірмелерді Қазақстанда сақтау. Провайдердің нақты орналасуы шартпен расталады. Қазақстандағы сақтау орны расталмаған шетелдік арзан тариф бастапқы таңдау ретінде қабылданбайды. Жабдық платформасының жария бағасы нақты жинақталған сервердің коммерциялық ұсынысын алмастырмайды.</w:t>
      </w:r>
    </w:p>
    <w:p>
      <w:r>
        <w:br w:type="page"/>
      </w:r>
    </w:p>
    <w:p>
      <w:pPr>
        <w:pStyle w:val="Heading1"/>
      </w:pPr>
      <w:r>
        <w:t>9 Рубеждік бақылау және әдістемеге сәйкестік</w:t>
      </w:r>
    </w:p>
    <w:p>
      <w:pPr>
        <w:ind w:firstLine="709"/>
      </w:pPr>
      <w:r>
        <w:t>Материалдар бір репозиторийде сақталады: https://github.com/nypucjiam-create/ENUWay. Осы жинақта бұрынғы артефактілердің қолжетімді көшірмелері қоса беріледі. Мазмұн көрсеткіші әр апта үшін файлға және GitHub бөліміне апаруы керек; тапсырылғаны жөніндегі журналға күн мен нақты орындаушылар енгізіледі.</w:t>
      </w:r>
    </w:p>
    <w:tbl>
      <w:tblPr>
        <w:tblW w:type="auto" w:w="0"/>
        <w:tblLayout w:type="fixed"/>
        <w:tblLook w:firstColumn="1" w:firstRow="1" w:lastColumn="0" w:lastRow="0" w:noHBand="0" w:noVBand="1" w:val="04A0"/>
      </w:tblPr>
      <w:tblGrid>
        <w:gridCol w:w="4677"/>
        <w:gridCol w:w="4677"/>
      </w:tblGrid>
      <w:tr>
        <w:trPr>
          <w:tblHeader/>
        </w:trP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Апта</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shd w:fill="E6EDF5"/>
          </w:tcPr>
          <w:p>
            <w:pPr>
              <w:spacing w:line="252" w:lineRule="auto" w:after="60"/>
            </w:pPr>
            <w:r>
              <w:rPr>
                <w:b/>
                <w:sz w:val="22"/>
              </w:rPr>
              <w:t>Қорғауда көрсетілетін нәтиже</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1</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Жобаның бастапқы карточкасы және талдауы — ЛЗ 1 материалы.</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2</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Жеткізу моделі ADR және команданың жұмыс келісімдері.</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3</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Жоба жарғысы, бизнес кейс және бастапқы қаржылық модель.</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4</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Story map, MVP, бэклог, функционалдық емес талаптар және коммуникациялар.</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5</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WBS, релиздер, тәуелділіктер, RACI және capacity.</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6</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Монте Карло notebook, ықтималдық қорытындысы және Planning Poker.</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7</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RAID, STRIDE моделі, Trivy және gitleaks, сәйкестік чек парағы.</w:t>
            </w:r>
          </w:p>
        </w:tc>
      </w:tr>
      <w:tr>
        <w:tc>
          <w:tcPr>
            <w:tcW w:type="dxa" w:w="102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8</w:t>
            </w:r>
          </w:p>
        </w:tc>
        <w:tc>
          <w:tcPr>
            <w:tcW w:type="dxa" w:w="833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60"/>
            </w:pPr>
            <w:r>
              <w:rPr>
                <w:b w:val="0"/>
                <w:sz w:val="22"/>
              </w:rPr>
              <w:t>Осы есеп, SLA және SLO, формулалы бюджет, TCO және юнит экономика.</w:t>
            </w:r>
          </w:p>
        </w:tc>
      </w:tr>
    </w:tbl>
    <w:p>
      <w:pPr>
        <w:spacing w:after="0"/>
      </w:pPr>
    </w:p>
    <w:p>
      <w:pPr>
        <w:ind w:firstLine="709"/>
      </w:pPr>
      <w:r>
        <w:t>Қорғау реті: алдымен SoW-тағы нәтиже мен қабылдау, кейін үш сценарий және бюджет саясаты көрсетіледі; электрондық кестеде айлық шығын, формулалар және залалсыздық ашылады; соңында TCO мен 1–8 апта индексі көрсетіледі. Альфараби міндеттемелерді, Нурай бюджет пен юнит экономиканы, Нурислам орналастыру мен жалпы жинақты түсіндіреді.</w:t>
      </w:r>
    </w:p>
    <w:p>
      <w:pPr>
        <w:ind w:firstLine="709"/>
      </w:pPr>
      <w:r>
        <w:t>Әдістеменің ЛЗ 8 бөлімі бойынша орындалған тармақтар: SoW міндетті бөлімдері және міндеттеме емес жұмыстар; көлем айырбасы; үш SLI/SLO; жұмсағырақ SLA; 50% және 100% саясаты; 12 айлық формулалы бюджет; пайдаланушы және жұмыс бірлігі құны; қолмен өңдеумен салыстыру; төрт TCO нұсқасы; тариф күні; деректер орналасуы; рубеждік материалдар индексі.</w:t>
      </w:r>
    </w:p>
    <w:p>
      <w:pPr>
        <w:ind w:firstLine="709"/>
      </w:pPr>
      <w:r>
        <w:t>Соңғы тапсыру алдында команда оқытушының репозиторий мен тақтаға қолжетімділігін тексеруі, тапсыру журналына сілтемелерді енгізуі және нақты қорғауды өткізуі керек. Wiki қолжетімсіз болса, журналды репозиторийдегі Markdown бетінде көрсету мүмкіндігін оқытушымен келісу қажет. Құжаттың болуы қорғау өтті немесе тапсырыс беруші шартты қабылдады дегенді білдірмейді.</w:t>
      </w:r>
    </w:p>
    <w:p>
      <w:r>
        <w:br w:type="page"/>
      </w:r>
    </w:p>
    <w:p>
      <w:pPr>
        <w:pStyle w:val="Heading1"/>
      </w:pPr>
      <w:r>
        <w:t>10 Дереккөздер және бекітілетін шешімдер</w:t>
      </w:r>
    </w:p>
    <w:p>
      <w:pPr>
        <w:ind w:firstLine="709"/>
      </w:pPr>
      <w:r>
        <w:t>Барлық сыртқы баға үшін қаралған күн — 22.10.2026. Жария тарифтер өзгеруі мүмкін; нақты сатып алуға дейін ұсыныс қайта тексеріледі. Есептегі допущение деп көрсетілген сандар провайдердің бекітілген бағасы емес.</w:t>
      </w:r>
    </w:p>
    <w:p>
      <w:pPr>
        <w:ind w:firstLine="709"/>
      </w:pPr>
      <w:r>
        <w:t>1. Әдістемелік нұсқаулық: «Методичка по лабораторным работам (для студентов) (2).docx», 1.1–1.4 және ЛЗ 8 бөлімі. Тапсыру, дереккөз және ЖИ ашып көрсету талаптары.</w:t>
      </w:r>
    </w:p>
    <w:p>
      <w:pPr>
        <w:ind w:firstLine="709"/>
      </w:pPr>
      <w:r>
        <w:t>2. Freedom Cloud ресми калькуляторы: https://fcd.kz/ru/calculators. 4 vCPU, 8 GB RAM, 200 GB NVMe. Есеп сәтінің скриншоты жинақта сақталған.</w:t>
      </w:r>
    </w:p>
    <w:p>
      <w:pPr>
        <w:ind w:firstLine="709"/>
      </w:pPr>
      <w:r>
        <w:t>3. Hoster Cloud VPS: https://hoster.kz/cloud/vps/. Cloud 4-8-200 жарияланған айлық бағасы 23 040 ₸.</w:t>
      </w:r>
    </w:p>
    <w:p>
      <w:pPr>
        <w:ind w:firstLine="709"/>
      </w:pPr>
      <w:r>
        <w:t>4. PS Cloud домен және ҚҚС өзгерістері: https://www.ps.kz/news/nds-2026. 2026 жылғы доменге 9 590 ₸ жылдық баға және 16% ҚҚС туралы хабарлама.</w:t>
      </w:r>
    </w:p>
    <w:p>
      <w:pPr>
        <w:ind w:firstLine="709"/>
      </w:pPr>
      <w:r>
        <w:t>5. Dell PowerEdge T150 платформа бағасы: https://server360.kz/catalog/server/dell-poweredge-t150/. 1 900 000 ₸ индикативті баға; нақты жинақ пен кепілдік жеке расталады.</w:t>
      </w:r>
    </w:p>
    <w:p>
      <w:pPr>
        <w:ind w:firstLine="709"/>
      </w:pPr>
      <w:r>
        <w:t>6. ENUWay ЛЗ 3 қаржылық моделі, ЛЗ 5 жеткізу жоспары, ЛЗ 7 RAID және EMV есебі. Еңбек ставкалары, көлем және резервтердің ішкі негізі.</w:t>
      </w:r>
    </w:p>
    <w:p>
      <w:pPr>
        <w:pStyle w:val="Heading1"/>
      </w:pPr>
      <w:r>
        <w:t>Іске қосуға дейінгі шешімдер</w:t>
      </w:r>
    </w:p>
    <w:p>
      <w:pPr>
        <w:ind w:firstLine="709"/>
      </w:pPr>
      <w:r>
        <w:t>Тапсырыс беруші өкілі SoW пен қабылдауды, деректерге жауапты тұлға сақтау орнын және қолжетімділікті, қаржыландыруға жауапты тұлға ақылы модель мен резервтерді бекітеді. Команда нақты қолмен өңдеу уақытын өлшейді және SLO-ны жүктемелік тексерумен растайды. Расталмаған параметрлер электрондық кестеде өзгертілетін кіріс ретінде қалдырылған.</w:t>
      </w:r>
    </w:p>
    <w:p>
      <w:pPr>
        <w:pStyle w:val="Heading1"/>
      </w:pPr>
      <w:r>
        <w:t>Жасанды интеллектті пайдалану туралы</w:t>
      </w:r>
    </w:p>
    <w:p>
      <w:pPr>
        <w:ind w:firstLine="709"/>
      </w:pPr>
      <w:r>
        <w:t>OpenAI Codex құжат жобасын құрастыруға, кесте формулаларын әзірлеуге және арифметикалық тексерулерге қолданылды. Бұл ENUWay өнімінде ЖИ компоненті бар дегенді білдірмейді. Тапсырушы команда мәтіннің мазмұнын, бастапқы допущениелерді және нақты қабылданған шешімдерді тексеріп, университеттің қолданыстағы талабына сай ашып көрсетуі тиіс.</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ENUWay жобасының міндеттемелері мен бюджеті</dc:title>
  <dc:subject/>
  <dc:creator>ENUWay командасы</dc:creator>
  <cp:keywords/>
  <dc:description>generated by python-docx</dc:description>
  <cp:lastModifiedBy/>
  <cp:revision>1</cp:revision>
  <dcterms:created xsi:type="dcterms:W3CDTF">2013-12-23T23:15:00Z</dcterms:created>
  <dcterms:modified xsi:type="dcterms:W3CDTF">2013-12-23T23:15:00Z</dcterms:modified>
  <cp:category/>
</cp:coreProperties>
</file>