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spacing w:after="80"/>
      </w:pPr>
      <w:r>
        <w:rPr>
          <w:rFonts w:ascii="Segoe UI" w:hAnsi="Segoe UI" w:eastAsia="Segoe UI"/>
          <w:b/>
          <w:i w:val="0"/>
          <w:color w:val="232323"/>
          <w:sz w:val="48"/>
        </w:rPr>
        <w:t>ЛЗ 4 ENUWay Story map бэклог және НФТ спецификациясы</w:t>
      </w:r>
    </w:p>
    <w:p>
      <w:pPr>
        <w:spacing w:after="240"/>
      </w:pPr>
      <w:r>
        <w:rPr>
          <w:rFonts w:ascii="Segoe UI" w:hAnsi="Segoe UI" w:eastAsia="Segoe UI"/>
          <w:b w:val="0"/>
          <w:i w:val="0"/>
          <w:color w:val="1DA1DB"/>
          <w:sz w:val="28"/>
        </w:rPr>
        <w:t>Студенттерге арналған методичка талаптары бойынша</w:t>
      </w:r>
    </w:p>
    <w:p>
      <w:pPr>
        <w:keepLines/>
        <w:spacing w:after="140" w:line="269" w:lineRule="auto"/>
        <w:jc w:val="both"/>
      </w:pPr>
      <w:r>
        <w:rPr>
          <w:rFonts w:ascii="Segoe UI" w:hAnsi="Segoe UI" w:eastAsia="Segoe UI"/>
          <w:b w:val="0"/>
          <w:i w:val="0"/>
          <w:color w:val="5B778A"/>
          <w:sz w:val="21"/>
        </w:rPr>
        <w:t>Управление IT-проектами · 2026 · Командалық жұмыс</w:t>
      </w:r>
    </w:p>
    <w:p>
      <w:pPr>
        <w:keepLines/>
        <w:spacing w:after="140" w:line="269" w:lineRule="auto"/>
        <w:jc w:val="both"/>
      </w:pPr>
      <w:r>
        <w:rPr>
          <w:rFonts w:ascii="Segoe UI" w:hAnsi="Segoe UI" w:eastAsia="Segoe UI"/>
          <w:b w:val="0"/>
          <w:i/>
          <w:color w:val="232323"/>
          <w:sz w:val="21"/>
        </w:rPr>
        <w:t>Құжат ENU студенттеріне ортақ сапар табуға арналған ENUWay сервисінің стейкхолдерлерін, коммуникациясын, пайдаланушы сұхбаттарын, story map картасын, өнім бэклогын және өлшенетін нефункционалдық талаптарын біріктіреді.</w:t>
      </w:r>
    </w:p>
    <w:p>
      <w:pPr>
        <w:keepNext/>
        <w:spacing w:before="280" w:after="100"/>
      </w:pPr>
      <w:r>
        <w:rPr>
          <w:rFonts w:ascii="Segoe UI" w:hAnsi="Segoe UI" w:eastAsia="Segoe UI"/>
          <w:b/>
          <w:i w:val="0"/>
          <w:color w:val="232323"/>
          <w:sz w:val="32"/>
        </w:rPr>
        <w:t>0 Тапсырылатын артефакт және бағалау критерийлері</w:t>
      </w:r>
    </w:p>
    <w:p>
      <w:pPr>
        <w:keepLines/>
        <w:spacing w:after="140" w:line="269" w:lineRule="auto"/>
        <w:jc w:val="both"/>
      </w:pPr>
      <w:r>
        <w:rPr>
          <w:rFonts w:ascii="Segoe UI" w:hAnsi="Segoe UI" w:eastAsia="Segoe UI"/>
          <w:b w:val="0"/>
          <w:i w:val="0"/>
          <w:color w:val="232323"/>
          <w:sz w:val="21"/>
        </w:rPr>
        <w:t>Тапсырылатын жинақ: стейкхолдерлер матрицасы, коммуникация жоспары, тапсырыс беруші және пайдаланушымен екі модельдік сұхбат хаттамасы, MVP срезі бар story map, GitHub Issues трекеріндегі 18 user story және 18 өлшенетін НФТ.</w:t>
      </w:r>
    </w:p>
    <w:p>
      <w:pPr>
        <w:spacing w:after="80"/>
        <w:ind w:left="346" w:hanging="230"/>
      </w:pPr>
      <w:r>
        <w:rPr>
          <w:rFonts w:ascii="Segoe UI" w:hAnsi="Segoe UI" w:eastAsia="Segoe UI"/>
          <w:b w:val="0"/>
          <w:i w:val="0"/>
          <w:color w:val="232323"/>
          <w:sz w:val="21"/>
        </w:rPr>
        <w:t>•  Әр НФТ санмен және тексеру әдісімен жазылған.</w:t>
      </w:r>
    </w:p>
    <w:p>
      <w:pPr>
        <w:spacing w:after="80"/>
        <w:ind w:left="346" w:hanging="230"/>
      </w:pPr>
      <w:r>
        <w:rPr>
          <w:rFonts w:ascii="Segoe UI" w:hAnsi="Segoe UI" w:eastAsia="Segoe UI"/>
          <w:b w:val="0"/>
          <w:i w:val="0"/>
          <w:color w:val="232323"/>
          <w:sz w:val="21"/>
        </w:rPr>
        <w:t>•  Story map пайдаланушы жолын толық көрсетеді және MVP көлденең срезбен белгіленген.</w:t>
      </w:r>
    </w:p>
    <w:p>
      <w:pPr>
        <w:spacing w:after="80"/>
        <w:ind w:left="346" w:hanging="230"/>
      </w:pPr>
      <w:r>
        <w:rPr>
          <w:rFonts w:ascii="Segoe UI" w:hAnsi="Segoe UI" w:eastAsia="Segoe UI"/>
          <w:b w:val="0"/>
          <w:i w:val="0"/>
          <w:color w:val="232323"/>
          <w:sz w:val="21"/>
        </w:rPr>
        <w:t>•  Барлық 18 тарих эпикке, релизге және белгіге байланыстырылған; MVP тарихтарының acceptance criteria оң және теріс Given–When–Then сценарийлерін қамтиды.</w:t>
      </w:r>
    </w:p>
    <w:p>
      <w:pPr>
        <w:spacing w:after="80"/>
        <w:ind w:left="346" w:hanging="230"/>
      </w:pPr>
      <w:r>
        <w:rPr>
          <w:rFonts w:ascii="Segoe UI" w:hAnsi="Segoe UI" w:eastAsia="Segoe UI"/>
          <w:b w:val="0"/>
          <w:i w:val="0"/>
          <w:color w:val="232323"/>
          <w:sz w:val="21"/>
        </w:rPr>
        <w:t>•  Құжаттағы сұхбат жауаптары оқу үшін модельденген және нақты респонденттердің жауабы ретінде көрсетілмейді.</w:t>
      </w:r>
    </w:p>
    <w:p>
      <w:pPr>
        <w:keepNext/>
        <w:spacing w:before="180" w:after="100"/>
      </w:pPr>
      <w:r>
        <w:rPr>
          <w:rFonts w:ascii="Segoe UI" w:hAnsi="Segoe UI" w:eastAsia="Segoe UI"/>
          <w:b/>
          <w:i w:val="0"/>
          <w:color w:val="232323"/>
          <w:sz w:val="24"/>
        </w:rPr>
        <w:t>Команда мүшелерінің бөліктері</w:t>
      </w:r>
    </w:p>
    <w:tbl>
      <w:tblPr>
        <w:tblW w:type="auto" w:w="0"/>
        <w:jc w:val="center"/>
        <w:tblLayout w:type="fixed"/>
        <w:tblLook w:firstColumn="1" w:firstRow="1" w:lastColumn="0" w:lastRow="0" w:noHBand="0" w:noVBand="1" w:val="04A0"/>
        <w:tblBorders>
          <w:top w:val="single" w:sz="5" w:color="9DCBE8"/>
          <w:left w:val="single" w:sz="5" w:color="9DCBE8"/>
          <w:bottom w:val="single" w:sz="5" w:color="9DCBE8"/>
          <w:right w:val="single" w:sz="5" w:color="9DCBE8"/>
          <w:insideH w:val="single" w:sz="5" w:color="9DCBE8"/>
          <w:insideV w:val="single" w:sz="5" w:color="9DCBE8"/>
        </w:tblBorders>
      </w:tblPr>
      <w:tblGrid>
        <w:gridCol w:w="2387"/>
        <w:gridCol w:w="2387"/>
        <w:gridCol w:w="2387"/>
        <w:gridCol w:w="2387"/>
      </w:tblGrid>
      <w:tr>
        <w:trPr>
          <w:tblHeader/>
          <w:cantSplit/>
        </w:trPr>
        <w:tc>
          <w:tcPr>
            <w:tcW w:type="dxa" w:w="1440"/>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7"/>
              </w:rPr>
              <w:t>Қатысушы</w:t>
            </w:r>
          </w:p>
        </w:tc>
        <w:tc>
          <w:tcPr>
            <w:tcW w:type="dxa" w:w="3600"/>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7"/>
              </w:rPr>
              <w:t>Қорғайтын бөлік</w:t>
            </w:r>
          </w:p>
        </w:tc>
        <w:tc>
          <w:tcPr>
            <w:tcW w:type="dxa" w:w="1224"/>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7"/>
              </w:rPr>
              <w:t>Тіл</w:t>
            </w:r>
          </w:p>
        </w:tc>
        <w:tc>
          <w:tcPr>
            <w:tcW w:type="dxa" w:w="3096"/>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7"/>
              </w:rPr>
              <w:t>Нәтиже</w:t>
            </w:r>
          </w:p>
        </w:tc>
      </w:tr>
      <w:tr>
        <w:trPr>
          <w:cantSplit/>
        </w:trPr>
        <w:tc>
          <w:tcPr>
            <w:tcW w:type="dxa" w:w="144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7"/>
              </w:rPr>
              <w:t>Қатысушы 1</w:t>
            </w:r>
          </w:p>
        </w:tc>
        <w:tc>
          <w:tcPr>
            <w:tcW w:type="dxa" w:w="360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Стейкхолдерлер, коммуникация және сұхбат</w:t>
            </w:r>
          </w:p>
        </w:tc>
        <w:tc>
          <w:tcPr>
            <w:tcW w:type="dxa" w:w="122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7"/>
              </w:rPr>
              <w:t>Қазақша</w:t>
            </w:r>
          </w:p>
        </w:tc>
        <w:tc>
          <w:tcPr>
            <w:tcW w:type="dxa" w:w="309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Матрица, жоспар және 2 хаттама</w:t>
            </w:r>
          </w:p>
        </w:tc>
      </w:tr>
      <w:tr>
        <w:trPr>
          <w:cantSplit/>
        </w:trPr>
        <w:tc>
          <w:tcPr>
            <w:tcW w:type="dxa" w:w="144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7"/>
              </w:rPr>
              <w:t>Қатысушы 2</w:t>
            </w:r>
          </w:p>
        </w:tc>
        <w:tc>
          <w:tcPr>
            <w:tcW w:type="dxa" w:w="360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Story map және өнім бэклогы</w:t>
            </w:r>
          </w:p>
        </w:tc>
        <w:tc>
          <w:tcPr>
            <w:tcW w:type="dxa" w:w="122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7"/>
              </w:rPr>
              <w:t>Қазақша</w:t>
            </w:r>
          </w:p>
        </w:tc>
        <w:tc>
          <w:tcPr>
            <w:tcW w:type="dxa" w:w="309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MVP срезі және 18 user story</w:t>
            </w:r>
          </w:p>
        </w:tc>
      </w:tr>
      <w:tr>
        <w:trPr>
          <w:cantSplit/>
        </w:trPr>
        <w:tc>
          <w:tcPr>
            <w:tcW w:type="dxa" w:w="144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7"/>
              </w:rPr>
              <w:t>Қатысушы 3</w:t>
            </w:r>
          </w:p>
        </w:tc>
        <w:tc>
          <w:tcPr>
            <w:tcW w:type="dxa" w:w="360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Спецификация НФТ</w:t>
            </w:r>
          </w:p>
        </w:tc>
        <w:tc>
          <w:tcPr>
            <w:tcW w:type="dxa" w:w="122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7"/>
              </w:rPr>
              <w:t>Русский</w:t>
            </w:r>
          </w:p>
        </w:tc>
        <w:tc>
          <w:tcPr>
            <w:tcW w:type="dxa" w:w="309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18 измеримых требований</w:t>
            </w:r>
          </w:p>
        </w:tc>
      </w:tr>
    </w:tbl>
    <w:p>
      <w:pPr>
        <w:spacing w:after="40"/>
      </w:pPr>
    </w:p>
    <w:p>
      <w:r>
        <w:br w:type="page"/>
      </w:r>
    </w:p>
    <w:p>
      <w:pPr>
        <w:keepNext/>
        <w:spacing w:before="280" w:after="100"/>
      </w:pPr>
      <w:r>
        <w:rPr>
          <w:rFonts w:ascii="Segoe UI" w:hAnsi="Segoe UI" w:eastAsia="Segoe UI"/>
          <w:b/>
          <w:i w:val="0"/>
          <w:color w:val="232323"/>
          <w:sz w:val="32"/>
        </w:rPr>
        <w:t>1 бөлім Стейкхолдерлер және коммуникация</w:t>
      </w:r>
    </w:p>
    <w:p>
      <w:pPr>
        <w:keepLines/>
        <w:spacing w:after="140" w:line="269" w:lineRule="auto"/>
        <w:jc w:val="both"/>
      </w:pPr>
      <w:r>
        <w:rPr>
          <w:rFonts w:ascii="Segoe UI" w:hAnsi="Segoe UI" w:eastAsia="Segoe UI"/>
          <w:b w:val="0"/>
          <w:i w:val="0"/>
          <w:color w:val="232323"/>
          <w:sz w:val="21"/>
        </w:rPr>
        <w:t>Матрицада жобаға ықпал ететін немесе ENUWay нәтижесіне тәуелді он бір тарап көрсетілді. Тапсырыс беруші бірден атамауы мүмкін жасырын стейкхолдерлер ретінде ақпараттық қауіпсіздікке жауапты тұлға, заң қызметі және пайдалану қызметі бөлек енгізілді.</w:t>
      </w:r>
    </w:p>
    <w:tbl>
      <w:tblPr>
        <w:tblW w:type="auto" w:w="0"/>
        <w:jc w:val="center"/>
        <w:tblLayout w:type="fixed"/>
        <w:tblLook w:firstColumn="1" w:firstRow="1" w:lastColumn="0" w:lastRow="0" w:noHBand="0" w:noVBand="1" w:val="04A0"/>
        <w:tblBorders>
          <w:top w:val="single" w:sz="5" w:color="9DCBE8"/>
          <w:left w:val="single" w:sz="5" w:color="9DCBE8"/>
          <w:bottom w:val="single" w:sz="5" w:color="9DCBE8"/>
          <w:right w:val="single" w:sz="5" w:color="9DCBE8"/>
          <w:insideH w:val="single" w:sz="5" w:color="9DCBE8"/>
          <w:insideV w:val="single" w:sz="5" w:color="9DCBE8"/>
        </w:tblBorders>
      </w:tblPr>
      <w:tblGrid>
        <w:gridCol w:w="1909"/>
        <w:gridCol w:w="1909"/>
        <w:gridCol w:w="1909"/>
        <w:gridCol w:w="1909"/>
        <w:gridCol w:w="1909"/>
      </w:tblGrid>
      <w:tr>
        <w:trPr>
          <w:tblHeader/>
          <w:cantSplit/>
        </w:trPr>
        <w:tc>
          <w:tcPr>
            <w:tcW w:type="dxa" w:w="208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Стейкхолдер</w:t>
            </w:r>
          </w:p>
        </w:tc>
        <w:tc>
          <w:tcPr>
            <w:tcW w:type="dxa" w:w="936"/>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Ықпал</w:t>
            </w:r>
          </w:p>
        </w:tc>
        <w:tc>
          <w:tcPr>
            <w:tcW w:type="dxa" w:w="1224"/>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Қызығушылық</w:t>
            </w:r>
          </w:p>
        </w:tc>
        <w:tc>
          <w:tcPr>
            <w:tcW w:type="dxa" w:w="2952"/>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Қажеттілігі және рөлі</w:t>
            </w:r>
          </w:p>
        </w:tc>
        <w:tc>
          <w:tcPr>
            <w:tcW w:type="dxa" w:w="2376"/>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Жұмыс стратегиясы</w:t>
            </w:r>
          </w:p>
        </w:tc>
      </w:tr>
      <w:tr>
        <w:trPr>
          <w:cantSplit/>
        </w:trPr>
        <w:tc>
          <w:tcPr>
            <w:tcW w:type="dxa" w:w="20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ENU цифрлық сервистер үйлестірушісі</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Жоғары</w:t>
            </w:r>
          </w:p>
        </w:tc>
        <w:tc>
          <w:tcPr>
            <w:tcW w:type="dxa" w:w="122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Жоғары</w:t>
            </w:r>
          </w:p>
        </w:tc>
        <w:tc>
          <w:tcPr>
            <w:tcW w:type="dxa" w:w="295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Тапсырыс беруші және өнім басымдықтарын бекітеді</w:t>
            </w:r>
          </w:p>
        </w:tc>
        <w:tc>
          <w:tcPr>
            <w:tcW w:type="dxa" w:w="237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Тығыз жұмыс істеу</w:t>
            </w:r>
          </w:p>
        </w:tc>
      </w:tr>
      <w:tr>
        <w:trPr>
          <w:cantSplit/>
        </w:trPr>
        <w:tc>
          <w:tcPr>
            <w:tcW w:type="dxa" w:w="208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Студент жолаушылар</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Орташа</w:t>
            </w:r>
          </w:p>
        </w:tc>
        <w:tc>
          <w:tcPr>
            <w:tcW w:type="dxa" w:w="122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Жоғары</w:t>
            </w:r>
          </w:p>
        </w:tc>
        <w:tc>
          <w:tcPr>
            <w:tcW w:type="dxa" w:w="295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Сапар іздейді және сапарға қосылады</w:t>
            </w:r>
          </w:p>
        </w:tc>
        <w:tc>
          <w:tcPr>
            <w:tcW w:type="dxa" w:w="237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Ақпараттандыру және сұхбатқа тарту</w:t>
            </w:r>
          </w:p>
        </w:tc>
      </w:tr>
      <w:tr>
        <w:trPr>
          <w:cantSplit/>
        </w:trPr>
        <w:tc>
          <w:tcPr>
            <w:tcW w:type="dxa" w:w="20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Студент жүргізушілер</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Орташа</w:t>
            </w:r>
          </w:p>
        </w:tc>
        <w:tc>
          <w:tcPr>
            <w:tcW w:type="dxa" w:w="122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Жоғары</w:t>
            </w:r>
          </w:p>
        </w:tc>
        <w:tc>
          <w:tcPr>
            <w:tcW w:type="dxa" w:w="295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Сапар құрады, орын мен уақытты басқарады</w:t>
            </w:r>
          </w:p>
        </w:tc>
        <w:tc>
          <w:tcPr>
            <w:tcW w:type="dxa" w:w="237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Ақпараттандыру және пилотқа тарту</w:t>
            </w:r>
          </w:p>
        </w:tc>
      </w:tr>
      <w:tr>
        <w:trPr>
          <w:cantSplit/>
        </w:trPr>
        <w:tc>
          <w:tcPr>
            <w:tcW w:type="dxa" w:w="208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ENU IT бөлімі</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Жоғары</w:t>
            </w:r>
          </w:p>
        </w:tc>
        <w:tc>
          <w:tcPr>
            <w:tcW w:type="dxa" w:w="122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Орташа</w:t>
            </w:r>
          </w:p>
        </w:tc>
        <w:tc>
          <w:tcPr>
            <w:tcW w:type="dxa" w:w="295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Университеттік аккаунтпен тексеру және интеграция</w:t>
            </w:r>
          </w:p>
        </w:tc>
        <w:tc>
          <w:tcPr>
            <w:tcW w:type="dxa" w:w="237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Техникалық шешімдерді келісу</w:t>
            </w:r>
          </w:p>
        </w:tc>
      </w:tr>
      <w:tr>
        <w:trPr>
          <w:cantSplit/>
        </w:trPr>
        <w:tc>
          <w:tcPr>
            <w:tcW w:type="dxa" w:w="20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Ақпараттық қауіпсіздік және дербес деректерге жауапты тұлға</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Жоғары</w:t>
            </w:r>
          </w:p>
        </w:tc>
        <w:tc>
          <w:tcPr>
            <w:tcW w:type="dxa" w:w="122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Орташа</w:t>
            </w:r>
          </w:p>
        </w:tc>
        <w:tc>
          <w:tcPr>
            <w:tcW w:type="dxa" w:w="295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Қауіпсіздік пен деректерді өңдеу талаптарын бекітеді</w:t>
            </w:r>
          </w:p>
        </w:tc>
        <w:tc>
          <w:tcPr>
            <w:tcW w:type="dxa" w:w="237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Талаптарды ерте келісу</w:t>
            </w:r>
          </w:p>
        </w:tc>
      </w:tr>
      <w:tr>
        <w:trPr>
          <w:cantSplit/>
        </w:trPr>
        <w:tc>
          <w:tcPr>
            <w:tcW w:type="dxa" w:w="208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ENU заң қызметі</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Жоғары</w:t>
            </w:r>
          </w:p>
        </w:tc>
        <w:tc>
          <w:tcPr>
            <w:tcW w:type="dxa" w:w="122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Төмен</w:t>
            </w:r>
          </w:p>
        </w:tc>
        <w:tc>
          <w:tcPr>
            <w:tcW w:type="dxa" w:w="295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Дербес деректер, жауапкершілік және пайдалану шарттарын келіседі</w:t>
            </w:r>
          </w:p>
        </w:tc>
        <w:tc>
          <w:tcPr>
            <w:tcW w:type="dxa" w:w="237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Іске қосуға дейін қанағаттандыру</w:t>
            </w:r>
          </w:p>
        </w:tc>
      </w:tr>
      <w:tr>
        <w:trPr>
          <w:cantSplit/>
        </w:trPr>
        <w:tc>
          <w:tcPr>
            <w:tcW w:type="dxa" w:w="20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ENU пайдалану және қолдау қызметі</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Жоғары</w:t>
            </w:r>
          </w:p>
        </w:tc>
        <w:tc>
          <w:tcPr>
            <w:tcW w:type="dxa" w:w="122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Орташа</w:t>
            </w:r>
          </w:p>
        </w:tc>
        <w:tc>
          <w:tcPr>
            <w:tcW w:type="dxa" w:w="295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Сервисті қабылдайды, мониторинг пен инциденттерді жүргізеді</w:t>
            </w:r>
          </w:p>
        </w:tc>
        <w:tc>
          <w:tcPr>
            <w:tcW w:type="dxa" w:w="237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Эксплуатация талаптарын бірге келісу</w:t>
            </w:r>
          </w:p>
        </w:tc>
      </w:tr>
      <w:tr>
        <w:trPr>
          <w:cantSplit/>
        </w:trPr>
        <w:tc>
          <w:tcPr>
            <w:tcW w:type="dxa" w:w="208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Университет әкімшілігі және жоба демеушісі</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Жоғары</w:t>
            </w:r>
          </w:p>
        </w:tc>
        <w:tc>
          <w:tcPr>
            <w:tcW w:type="dxa" w:w="122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Төмен</w:t>
            </w:r>
          </w:p>
        </w:tc>
        <w:tc>
          <w:tcPr>
            <w:tcW w:type="dxa" w:w="295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Пилотқа рұқсат, ресурс және эскалация</w:t>
            </w:r>
          </w:p>
        </w:tc>
        <w:tc>
          <w:tcPr>
            <w:tcW w:type="dxa" w:w="237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Қысқа басқарушылық есеп</w:t>
            </w:r>
          </w:p>
        </w:tc>
      </w:tr>
      <w:tr>
        <w:trPr>
          <w:cantSplit/>
        </w:trPr>
        <w:tc>
          <w:tcPr>
            <w:tcW w:type="dxa" w:w="20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Модератор немесе қолдау қызметі</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Орташа</w:t>
            </w:r>
          </w:p>
        </w:tc>
        <w:tc>
          <w:tcPr>
            <w:tcW w:type="dxa" w:w="122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Жоғары</w:t>
            </w:r>
          </w:p>
        </w:tc>
        <w:tc>
          <w:tcPr>
            <w:tcW w:type="dxa" w:w="295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Шағымдарды, бұғаттауды және дауларды өңдейді</w:t>
            </w:r>
          </w:p>
        </w:tc>
        <w:tc>
          <w:tcPr>
            <w:tcW w:type="dxa" w:w="237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Процесті бірге жобалау</w:t>
            </w:r>
          </w:p>
        </w:tc>
      </w:tr>
      <w:tr>
        <w:trPr>
          <w:cantSplit/>
        </w:trPr>
        <w:tc>
          <w:tcPr>
            <w:tcW w:type="dxa" w:w="208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Сыртқы карта немесе хабарлама сервисі</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Орташа</w:t>
            </w:r>
          </w:p>
        </w:tc>
        <w:tc>
          <w:tcPr>
            <w:tcW w:type="dxa" w:w="122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Төмен</w:t>
            </w:r>
          </w:p>
        </w:tc>
        <w:tc>
          <w:tcPr>
            <w:tcW w:type="dxa" w:w="295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Маршрут пен хабарламаға техникалық тәуелділік</w:t>
            </w:r>
          </w:p>
        </w:tc>
        <w:tc>
          <w:tcPr>
            <w:tcW w:type="dxa" w:w="237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SLA және балама жоспарды бақылау</w:t>
            </w:r>
          </w:p>
        </w:tc>
      </w:tr>
      <w:tr>
        <w:trPr>
          <w:cantSplit/>
        </w:trPr>
        <w:tc>
          <w:tcPr>
            <w:tcW w:type="dxa" w:w="20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ENUWay жобалық командасы</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Жоғары</w:t>
            </w:r>
          </w:p>
        </w:tc>
        <w:tc>
          <w:tcPr>
            <w:tcW w:type="dxa" w:w="122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Жоғары</w:t>
            </w:r>
          </w:p>
        </w:tc>
        <w:tc>
          <w:tcPr>
            <w:tcW w:type="dxa" w:w="295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Талаптарды талдау, әзірлеу, тестілеу және есеп беру</w:t>
            </w:r>
          </w:p>
        </w:tc>
        <w:tc>
          <w:tcPr>
            <w:tcW w:type="dxa" w:w="237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Күнделікті үйлестіру</w:t>
            </w:r>
          </w:p>
        </w:tc>
      </w:tr>
    </w:tbl>
    <w:p>
      <w:pPr>
        <w:spacing w:after="40"/>
      </w:pPr>
    </w:p>
    <w:p>
      <w:pPr>
        <w:keepLines/>
        <w:spacing w:after="140" w:line="269" w:lineRule="auto"/>
        <w:jc w:val="both"/>
      </w:pPr>
      <w:r>
        <w:rPr>
          <w:rFonts w:ascii="Segoe UI" w:hAnsi="Segoe UI" w:eastAsia="Segoe UI"/>
          <w:b w:val="0"/>
          <w:i w:val="0"/>
          <w:color w:val="232323"/>
          <w:sz w:val="21"/>
        </w:rPr>
        <w:t>Жасырын стейкхолдерлерді табу қағидасы: «жобаның іске қосылуын кім тоқтата алады, тіпті ол ештеңеге тапсырыс бермесе де?» деген бақылау сұрағы қойылды. Осы себеппен қауіпсіздік, заң және пайдалану қызметтері ерте келісуге енгізілді.</w:t>
      </w:r>
    </w:p>
    <w:p>
      <w:pPr>
        <w:keepNext/>
        <w:spacing w:before="180" w:after="100"/>
      </w:pPr>
      <w:r>
        <w:rPr>
          <w:rFonts w:ascii="Segoe UI" w:hAnsi="Segoe UI" w:eastAsia="Segoe UI"/>
          <w:b/>
          <w:i w:val="0"/>
          <w:color w:val="232323"/>
          <w:sz w:val="24"/>
        </w:rPr>
        <w:t>Коммуникация жоспары</w:t>
      </w:r>
    </w:p>
    <w:tbl>
      <w:tblPr>
        <w:tblW w:type="auto" w:w="0"/>
        <w:jc w:val="center"/>
        <w:tblLayout w:type="fixed"/>
        <w:tblLook w:firstColumn="1" w:firstRow="1" w:lastColumn="0" w:lastRow="0" w:noHBand="0" w:noVBand="1" w:val="04A0"/>
        <w:tblBorders>
          <w:top w:val="single" w:sz="5" w:color="9DCBE8"/>
          <w:left w:val="single" w:sz="5" w:color="9DCBE8"/>
          <w:bottom w:val="single" w:sz="5" w:color="9DCBE8"/>
          <w:right w:val="single" w:sz="5" w:color="9DCBE8"/>
          <w:insideH w:val="single" w:sz="5" w:color="9DCBE8"/>
          <w:insideV w:val="single" w:sz="5" w:color="9DCBE8"/>
        </w:tblBorders>
      </w:tblPr>
      <w:tblGrid>
        <w:gridCol w:w="1909"/>
        <w:gridCol w:w="1909"/>
        <w:gridCol w:w="1909"/>
        <w:gridCol w:w="1909"/>
        <w:gridCol w:w="1909"/>
      </w:tblGrid>
      <w:tr>
        <w:trPr>
          <w:tblHeader/>
          <w:cantSplit/>
        </w:trPr>
        <w:tc>
          <w:tcPr>
            <w:tcW w:type="dxa" w:w="1944"/>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Кімге</w:t>
            </w:r>
          </w:p>
        </w:tc>
        <w:tc>
          <w:tcPr>
            <w:tcW w:type="dxa" w:w="3096"/>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Не хабарланады</w:t>
            </w:r>
          </w:p>
        </w:tc>
        <w:tc>
          <w:tcPr>
            <w:tcW w:type="dxa" w:w="1800"/>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Жиілік</w:t>
            </w:r>
          </w:p>
        </w:tc>
        <w:tc>
          <w:tcPr>
            <w:tcW w:type="dxa" w:w="1800"/>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Арна</w:t>
            </w:r>
          </w:p>
        </w:tc>
        <w:tc>
          <w:tcPr>
            <w:tcW w:type="dxa" w:w="1296"/>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Иесі</w:t>
            </w:r>
          </w:p>
        </w:tc>
      </w:tr>
      <w:tr>
        <w:trPr>
          <w:cantSplit/>
        </w:trPr>
        <w:tc>
          <w:tcPr>
            <w:tcW w:type="dxa" w:w="194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ENU цифрлық сервистер үйлестірушісі</w:t>
            </w:r>
          </w:p>
        </w:tc>
        <w:tc>
          <w:tcPr>
            <w:tcW w:type="dxa" w:w="309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Прогресс, шешімдер, тәуекелдер, MVP өзгерістері</w:t>
            </w:r>
          </w:p>
        </w:tc>
        <w:tc>
          <w:tcPr>
            <w:tcW w:type="dxa" w:w="180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Аптасына 1 рет</w:t>
            </w:r>
          </w:p>
        </w:tc>
        <w:tc>
          <w:tcPr>
            <w:tcW w:type="dxa" w:w="180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Онлайн кездесу + хаттама</w:t>
            </w:r>
          </w:p>
        </w:tc>
        <w:tc>
          <w:tcPr>
            <w:tcW w:type="dxa" w:w="129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Жоба менеджері</w:t>
            </w:r>
          </w:p>
        </w:tc>
      </w:tr>
      <w:tr>
        <w:trPr>
          <w:cantSplit/>
        </w:trPr>
        <w:tc>
          <w:tcPr>
            <w:tcW w:type="dxa" w:w="194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Студент жолаушылар</w:t>
            </w:r>
          </w:p>
        </w:tc>
        <w:tc>
          <w:tcPr>
            <w:tcW w:type="dxa" w:w="309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Прототип, usability сұрақтары, пилот нәтижелері</w:t>
            </w:r>
          </w:p>
        </w:tc>
        <w:tc>
          <w:tcPr>
            <w:tcW w:type="dxa" w:w="180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Discovery кезінде 2 сұхбат, кейін әр релизде</w:t>
            </w:r>
          </w:p>
        </w:tc>
        <w:tc>
          <w:tcPr>
            <w:tcW w:type="dxa" w:w="180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Офлайн сұхбат / Google Meet / Forms</w:t>
            </w:r>
          </w:p>
        </w:tc>
        <w:tc>
          <w:tcPr>
            <w:tcW w:type="dxa" w:w="129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Бизнес-талдаушы</w:t>
            </w:r>
          </w:p>
        </w:tc>
      </w:tr>
      <w:tr>
        <w:trPr>
          <w:cantSplit/>
        </w:trPr>
        <w:tc>
          <w:tcPr>
            <w:tcW w:type="dxa" w:w="194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Студент жүргізушілер</w:t>
            </w:r>
          </w:p>
        </w:tc>
        <w:tc>
          <w:tcPr>
            <w:tcW w:type="dxa" w:w="309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Сапар құру сценарийі, қауіпсіздік және шығынды бөлу</w:t>
            </w:r>
          </w:p>
        </w:tc>
        <w:tc>
          <w:tcPr>
            <w:tcW w:type="dxa" w:w="180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Discovery кезінде 1–2 сұхбат, кейін әр релизде</w:t>
            </w:r>
          </w:p>
        </w:tc>
        <w:tc>
          <w:tcPr>
            <w:tcW w:type="dxa" w:w="180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Офлайн сұхбат / мессенджер</w:t>
            </w:r>
          </w:p>
        </w:tc>
        <w:tc>
          <w:tcPr>
            <w:tcW w:type="dxa" w:w="129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Бизнес-талдаушы</w:t>
            </w:r>
          </w:p>
        </w:tc>
      </w:tr>
      <w:tr>
        <w:trPr>
          <w:cantSplit/>
        </w:trPr>
        <w:tc>
          <w:tcPr>
            <w:tcW w:type="dxa" w:w="194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ENU IT бөлімі</w:t>
            </w:r>
          </w:p>
        </w:tc>
        <w:tc>
          <w:tcPr>
            <w:tcW w:type="dxa" w:w="309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SSO интеграциясы, тест ортасы, техникалық шектеулер</w:t>
            </w:r>
          </w:p>
        </w:tc>
        <w:tc>
          <w:tcPr>
            <w:tcW w:type="dxa" w:w="180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Екі аптада 1 рет және блокер пайда болғанда</w:t>
            </w:r>
          </w:p>
        </w:tc>
        <w:tc>
          <w:tcPr>
            <w:tcW w:type="dxa" w:w="180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Teams/Meet + техникалық хат</w:t>
            </w:r>
          </w:p>
        </w:tc>
        <w:tc>
          <w:tcPr>
            <w:tcW w:type="dxa" w:w="129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Backend әзірлеуші</w:t>
            </w:r>
          </w:p>
        </w:tc>
      </w:tr>
      <w:tr>
        <w:trPr>
          <w:cantSplit/>
        </w:trPr>
        <w:tc>
          <w:tcPr>
            <w:tcW w:type="dxa" w:w="194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Ақпараттық қауіпсіздік маманы</w:t>
            </w:r>
          </w:p>
        </w:tc>
        <w:tc>
          <w:tcPr>
            <w:tcW w:type="dxa" w:w="309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Деректер құрамы, қолжетімділік, журналдау, сақтау мерзімі</w:t>
            </w:r>
          </w:p>
        </w:tc>
        <w:tc>
          <w:tcPr>
            <w:tcW w:type="dxa" w:w="180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Талаптарды бекіткенде және релиз алдында</w:t>
            </w:r>
          </w:p>
        </w:tc>
        <w:tc>
          <w:tcPr>
            <w:tcW w:type="dxa" w:w="180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Құжатты келісу + кездесу</w:t>
            </w:r>
          </w:p>
        </w:tc>
        <w:tc>
          <w:tcPr>
            <w:tcW w:type="dxa" w:w="129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QA және қауіпсіздікке жауапты</w:t>
            </w:r>
          </w:p>
        </w:tc>
      </w:tr>
      <w:tr>
        <w:trPr>
          <w:cantSplit/>
        </w:trPr>
        <w:tc>
          <w:tcPr>
            <w:tcW w:type="dxa" w:w="194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ENU заң қызметі</w:t>
            </w:r>
          </w:p>
        </w:tc>
        <w:tc>
          <w:tcPr>
            <w:tcW w:type="dxa" w:w="309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Дербес деректер, келісім, жауапкершілік және пайдалану шарттары</w:t>
            </w:r>
          </w:p>
        </w:tc>
        <w:tc>
          <w:tcPr>
            <w:tcW w:type="dxa" w:w="180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Талаптарды бекіткенде және пилот алдында</w:t>
            </w:r>
          </w:p>
        </w:tc>
        <w:tc>
          <w:tcPr>
            <w:tcW w:type="dxa" w:w="180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Құжатты келісу + ресми хат</w:t>
            </w:r>
          </w:p>
        </w:tc>
        <w:tc>
          <w:tcPr>
            <w:tcW w:type="dxa" w:w="129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Жоба менеджері</w:t>
            </w:r>
          </w:p>
        </w:tc>
      </w:tr>
      <w:tr>
        <w:trPr>
          <w:cantSplit/>
        </w:trPr>
        <w:tc>
          <w:tcPr>
            <w:tcW w:type="dxa" w:w="194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ENU пайдалану және қолдау қызметі</w:t>
            </w:r>
          </w:p>
        </w:tc>
        <w:tc>
          <w:tcPr>
            <w:tcW w:type="dxa" w:w="309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Мониторинг, инцидент, резервтік көшіру және қабылдау тәртібі</w:t>
            </w:r>
          </w:p>
        </w:tc>
        <w:tc>
          <w:tcPr>
            <w:tcW w:type="dxa" w:w="180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Екі аптада 1 рет, іске қосу алдында аптасына 1 рет</w:t>
            </w:r>
          </w:p>
        </w:tc>
        <w:tc>
          <w:tcPr>
            <w:tcW w:type="dxa" w:w="180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Кездесу + runbook</w:t>
            </w:r>
          </w:p>
        </w:tc>
        <w:tc>
          <w:tcPr>
            <w:tcW w:type="dxa" w:w="129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DevOps/қолдау иесі</w:t>
            </w:r>
          </w:p>
        </w:tc>
      </w:tr>
      <w:tr>
        <w:trPr>
          <w:cantSplit/>
        </w:trPr>
        <w:tc>
          <w:tcPr>
            <w:tcW w:type="dxa" w:w="194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Демеуші</w:t>
            </w:r>
          </w:p>
        </w:tc>
        <w:tc>
          <w:tcPr>
            <w:tcW w:type="dxa" w:w="309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Вехалар, бюджет, топ-тәуекелдер, қажет шешім</w:t>
            </w:r>
          </w:p>
        </w:tc>
        <w:tc>
          <w:tcPr>
            <w:tcW w:type="dxa" w:w="180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Айына 1 рет</w:t>
            </w:r>
          </w:p>
        </w:tc>
        <w:tc>
          <w:tcPr>
            <w:tcW w:type="dxa" w:w="180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1 беттік статус-есеп</w:t>
            </w:r>
          </w:p>
        </w:tc>
        <w:tc>
          <w:tcPr>
            <w:tcW w:type="dxa" w:w="129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Жоба менеджері</w:t>
            </w:r>
          </w:p>
        </w:tc>
      </w:tr>
      <w:tr>
        <w:trPr>
          <w:cantSplit/>
        </w:trPr>
        <w:tc>
          <w:tcPr>
            <w:tcW w:type="dxa" w:w="194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Модератор/қолдау</w:t>
            </w:r>
          </w:p>
        </w:tc>
        <w:tc>
          <w:tcPr>
            <w:tcW w:type="dxa" w:w="309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Шағымдар, бұғаттау, runbook және эскалация</w:t>
            </w:r>
          </w:p>
        </w:tc>
        <w:tc>
          <w:tcPr>
            <w:tcW w:type="dxa" w:w="180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Айына 2 рет, пилот кезінде аптасына 1 рет</w:t>
            </w:r>
          </w:p>
        </w:tc>
        <w:tc>
          <w:tcPr>
            <w:tcW w:type="dxa" w:w="180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Чат + трекер</w:t>
            </w:r>
          </w:p>
        </w:tc>
        <w:tc>
          <w:tcPr>
            <w:tcW w:type="dxa" w:w="129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Жоба менеджері</w:t>
            </w:r>
          </w:p>
        </w:tc>
      </w:tr>
      <w:tr>
        <w:trPr>
          <w:cantSplit/>
        </w:trPr>
        <w:tc>
          <w:tcPr>
            <w:tcW w:type="dxa" w:w="194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Жобалық команда</w:t>
            </w:r>
          </w:p>
        </w:tc>
        <w:tc>
          <w:tcPr>
            <w:tcW w:type="dxa" w:w="309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Тапсырмалар, тәуелділіктер, шешімдер, кедергілер</w:t>
            </w:r>
          </w:p>
        </w:tc>
        <w:tc>
          <w:tcPr>
            <w:tcW w:type="dxa" w:w="180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Аптасына 2 рет</w:t>
            </w:r>
          </w:p>
        </w:tc>
        <w:tc>
          <w:tcPr>
            <w:tcW w:type="dxa" w:w="180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GitHub Issues + қысқа кездесу</w:t>
            </w:r>
          </w:p>
        </w:tc>
        <w:tc>
          <w:tcPr>
            <w:tcW w:type="dxa" w:w="129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Кезекші модератор</w:t>
            </w:r>
          </w:p>
        </w:tc>
      </w:tr>
    </w:tbl>
    <w:p>
      <w:pPr>
        <w:spacing w:after="40"/>
      </w:pPr>
    </w:p>
    <w:p>
      <w:pPr>
        <w:keepLines/>
        <w:spacing w:after="140" w:line="269" w:lineRule="auto"/>
        <w:jc w:val="both"/>
      </w:pPr>
      <w:r>
        <w:rPr>
          <w:rFonts w:ascii="Segoe UI" w:hAnsi="Segoe UI" w:eastAsia="Segoe UI"/>
          <w:b w:val="0"/>
          <w:i w:val="0"/>
          <w:color w:val="232323"/>
          <w:sz w:val="21"/>
        </w:rPr>
        <w:t>Жұмыс сұрақтарының тәртібі: барлық сұрақ GitHub-тағы бір Questions тізіміне жиналады. Иесі, адресаты, қойылған күні және жауап мерзімі жазылады. Жоба менеджері тізімді күн сайын тексереді, ал тапсырыс берушіге жиналған сұрақтар апталық кездесуде бір пакетпен қойылады. P1 блокері ғана жеке арнамен бірден эскалацияланады.</w:t>
      </w:r>
    </w:p>
    <w:p>
      <w:pPr>
        <w:keepNext/>
        <w:spacing w:before="280" w:after="100"/>
      </w:pPr>
      <w:r>
        <w:rPr>
          <w:rFonts w:ascii="Segoe UI" w:hAnsi="Segoe UI" w:eastAsia="Segoe UI"/>
          <w:b/>
          <w:i w:val="0"/>
          <w:color w:val="232323"/>
          <w:sz w:val="32"/>
        </w:rPr>
        <w:t>2 бөлім Тапсырыс беруші және пайдаланушымен екі модельдік сұхбат</w:t>
      </w:r>
    </w:p>
    <w:p>
      <w:pPr>
        <w:keepLines/>
        <w:spacing w:after="140" w:line="269" w:lineRule="auto"/>
        <w:jc w:val="both"/>
      </w:pPr>
      <w:r>
        <w:rPr>
          <w:rFonts w:ascii="Segoe UI" w:hAnsi="Segoe UI" w:eastAsia="Segoe UI"/>
          <w:b w:val="0"/>
          <w:i/>
          <w:color w:val="232323"/>
          <w:sz w:val="21"/>
        </w:rPr>
        <w:t>Төмендегі екі хаттама ENUWay гипотезаларын тексеру үлгісі ретінде модельденді. Олар нақты адамдармен жүргізілген сұхбат емес және нақты респонденттердің сөзі ретінде ұсынылмайды. Нақты тапсыру кезінде код, күн және дәйексөздер шынайы сұхбат деректерімен ауыстырылады.</w:t>
      </w:r>
    </w:p>
    <w:p>
      <w:pPr>
        <w:keepNext/>
        <w:spacing w:before="180" w:after="100"/>
      </w:pPr>
      <w:r>
        <w:rPr>
          <w:rFonts w:ascii="Segoe UI" w:hAnsi="Segoe UI" w:eastAsia="Segoe UI"/>
          <w:b/>
          <w:i w:val="0"/>
          <w:color w:val="232323"/>
          <w:sz w:val="24"/>
        </w:rPr>
        <w:t>1-модельдік сұхбат хаттамасы</w:t>
      </w:r>
    </w:p>
    <w:tbl>
      <w:tblPr>
        <w:tblW w:type="auto" w:w="0"/>
        <w:jc w:val="center"/>
        <w:tblLayout w:type="fixed"/>
        <w:tblLook w:firstColumn="1" w:firstRow="1" w:lastColumn="0" w:lastRow="0" w:noHBand="0" w:noVBand="1" w:val="04A0"/>
        <w:tblBorders>
          <w:top w:val="single" w:sz="5" w:color="9DCBE8"/>
          <w:left w:val="single" w:sz="5" w:color="9DCBE8"/>
          <w:bottom w:val="single" w:sz="5" w:color="9DCBE8"/>
          <w:right w:val="single" w:sz="5" w:color="9DCBE8"/>
          <w:insideH w:val="single" w:sz="5" w:color="9DCBE8"/>
          <w:insideV w:val="single" w:sz="5" w:color="9DCBE8"/>
        </w:tblBorders>
      </w:tblPr>
      <w:tblGrid>
        <w:gridCol w:w="4773"/>
        <w:gridCol w:w="4773"/>
      </w:tblGrid>
      <w:tr>
        <w:trPr>
          <w:tblHeader/>
          <w:cantSplit/>
        </w:trPr>
        <w:tc>
          <w:tcPr>
            <w:tcW w:type="dxa" w:w="3240"/>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7"/>
              </w:rPr>
              <w:t>Өріс</w:t>
            </w:r>
          </w:p>
        </w:tc>
        <w:tc>
          <w:tcPr>
            <w:tcW w:type="dxa" w:w="6120"/>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7"/>
              </w:rPr>
              <w:t>Модельденген жауап</w:t>
            </w:r>
          </w:p>
        </w:tc>
      </w:tr>
      <w:tr>
        <w:trPr>
          <w:cantSplit/>
        </w:trPr>
        <w:tc>
          <w:tcPr>
            <w:tcW w:type="dxa" w:w="324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Респондент коды және рөлі</w:t>
            </w:r>
          </w:p>
        </w:tc>
        <w:tc>
          <w:tcPr>
            <w:tcW w:type="dxa" w:w="61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R-01, ENU студенті, жолаушы; пайдаланушы өкілі</w:t>
            </w:r>
          </w:p>
        </w:tc>
      </w:tr>
      <w:tr>
        <w:trPr>
          <w:cantSplit/>
        </w:trPr>
        <w:tc>
          <w:tcPr>
            <w:tcW w:type="dxa" w:w="324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Күні, арнасы және ұзақтығы</w:t>
            </w:r>
          </w:p>
        </w:tc>
        <w:tc>
          <w:tcPr>
            <w:tcW w:type="dxa" w:w="61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Модельдік сценарий; офлайн форматқа арналған; 14 минут</w:t>
            </w:r>
          </w:p>
        </w:tc>
      </w:tr>
      <w:tr>
        <w:trPr>
          <w:cantSplit/>
        </w:trPr>
        <w:tc>
          <w:tcPr>
            <w:tcW w:type="dxa" w:w="324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Соңғы нақты сапар жағдайы</w:t>
            </w:r>
          </w:p>
        </w:tc>
        <w:tc>
          <w:tcPr>
            <w:tcW w:type="dxa" w:w="61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Соңғы сапарда таңғы 08:20-да университетке бару үшін топтық чаттан сапарлас іздеген. 22 минут ішінде жауап болмаған соң таксиге жалғыз отырған және 2 400 теңге төлеген.</w:t>
            </w:r>
          </w:p>
        </w:tc>
      </w:tr>
      <w:tr>
        <w:trPr>
          <w:cantSplit/>
        </w:trPr>
        <w:tc>
          <w:tcPr>
            <w:tcW w:type="dxa" w:w="324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Модельдік дәйексөз</w:t>
            </w:r>
          </w:p>
        </w:tc>
        <w:tc>
          <w:tcPr>
            <w:tcW w:type="dxa" w:w="61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«Маған жүргізушінің ENU студенті екені, нақты кездесу нүктесі және сапар құны алдын ала көрінсе, қосылар едім». Модельдік дәйексөз.</w:t>
            </w:r>
          </w:p>
        </w:tc>
      </w:tr>
      <w:tr>
        <w:trPr>
          <w:cantSplit/>
        </w:trPr>
        <w:tc>
          <w:tcPr>
            <w:tcW w:type="dxa" w:w="324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Негізгі мәселе</w:t>
            </w:r>
          </w:p>
        </w:tc>
        <w:tc>
          <w:tcPr>
            <w:tcW w:type="dxa" w:w="61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Сапарлас іздеу бірнеше чатқа бөлінген; сенім, баға және бос орын туралы ақпарат бір жерде жоқ.</w:t>
            </w:r>
          </w:p>
        </w:tc>
      </w:tr>
      <w:tr>
        <w:trPr>
          <w:cantSplit/>
        </w:trPr>
        <w:tc>
          <w:tcPr>
            <w:tcW w:type="dxa" w:w="324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Теріске шыққан болжам</w:t>
            </w:r>
          </w:p>
        </w:tc>
        <w:tc>
          <w:tcPr>
            <w:tcW w:type="dxa" w:w="61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Бастапқы болжам: ең маңызды мәселе тек бағаның жоғары болуы. Модель нәтижесі бойынша сенім мен жауап алу уақыты да шешуші.</w:t>
            </w:r>
          </w:p>
        </w:tc>
      </w:tr>
      <w:tr>
        <w:trPr>
          <w:cantSplit/>
        </w:trPr>
        <w:tc>
          <w:tcPr>
            <w:tcW w:type="dxa" w:w="324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Backlog-тағы өзгеріс және US ID</w:t>
            </w:r>
          </w:p>
        </w:tc>
        <w:tc>
          <w:tcPr>
            <w:tcW w:type="dxa" w:w="61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US-17 Release 2-ден MVP-ге ауыстырылды; US-04 карточкасына verified мәртебесі, кездесу нүктесі, бос орын және шығын үлесі бекітілді.</w:t>
            </w:r>
          </w:p>
        </w:tc>
      </w:tr>
    </w:tbl>
    <w:p>
      <w:pPr>
        <w:spacing w:after="40"/>
      </w:pPr>
    </w:p>
    <w:p>
      <w:pPr>
        <w:keepNext/>
        <w:spacing w:before="180" w:after="100"/>
      </w:pPr>
      <w:r>
        <w:rPr>
          <w:rFonts w:ascii="Segoe UI" w:hAnsi="Segoe UI" w:eastAsia="Segoe UI"/>
          <w:b/>
          <w:i w:val="0"/>
          <w:color w:val="232323"/>
          <w:sz w:val="24"/>
        </w:rPr>
        <w:t>2-модельдік сұхбат хаттамасы</w:t>
      </w:r>
    </w:p>
    <w:tbl>
      <w:tblPr>
        <w:tblW w:type="auto" w:w="0"/>
        <w:jc w:val="center"/>
        <w:tblLayout w:type="fixed"/>
        <w:tblLook w:firstColumn="1" w:firstRow="1" w:lastColumn="0" w:lastRow="0" w:noHBand="0" w:noVBand="1" w:val="04A0"/>
        <w:tblBorders>
          <w:top w:val="single" w:sz="5" w:color="9DCBE8"/>
          <w:left w:val="single" w:sz="5" w:color="9DCBE8"/>
          <w:bottom w:val="single" w:sz="5" w:color="9DCBE8"/>
          <w:right w:val="single" w:sz="5" w:color="9DCBE8"/>
          <w:insideH w:val="single" w:sz="5" w:color="9DCBE8"/>
          <w:insideV w:val="single" w:sz="5" w:color="9DCBE8"/>
        </w:tblBorders>
      </w:tblPr>
      <w:tblGrid>
        <w:gridCol w:w="4773"/>
        <w:gridCol w:w="4773"/>
      </w:tblGrid>
      <w:tr>
        <w:trPr>
          <w:tblHeader/>
          <w:cantSplit/>
        </w:trPr>
        <w:tc>
          <w:tcPr>
            <w:tcW w:type="dxa" w:w="3240"/>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7"/>
              </w:rPr>
              <w:t>Өріс</w:t>
            </w:r>
          </w:p>
        </w:tc>
        <w:tc>
          <w:tcPr>
            <w:tcW w:type="dxa" w:w="6120"/>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7"/>
              </w:rPr>
              <w:t>Модельденген жауап</w:t>
            </w:r>
          </w:p>
        </w:tc>
      </w:tr>
      <w:tr>
        <w:trPr>
          <w:cantSplit/>
        </w:trPr>
        <w:tc>
          <w:tcPr>
            <w:tcW w:type="dxa" w:w="324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Респондент коды және рөлі</w:t>
            </w:r>
          </w:p>
        </w:tc>
        <w:tc>
          <w:tcPr>
            <w:tcW w:type="dxa" w:w="61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R-02, ENU цифрлық сервистер үйлестірушісі; тапсырыс беруші өкілі</w:t>
            </w:r>
          </w:p>
        </w:tc>
      </w:tr>
      <w:tr>
        <w:trPr>
          <w:cantSplit/>
        </w:trPr>
        <w:tc>
          <w:tcPr>
            <w:tcW w:type="dxa" w:w="324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Күні, арнасы және ұзақтығы</w:t>
            </w:r>
          </w:p>
        </w:tc>
        <w:tc>
          <w:tcPr>
            <w:tcW w:type="dxa" w:w="61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Модельдік сценарий; Google Meet форматына арналған; 18 минут</w:t>
            </w:r>
          </w:p>
        </w:tc>
      </w:tr>
      <w:tr>
        <w:trPr>
          <w:cantSplit/>
        </w:trPr>
        <w:tc>
          <w:tcPr>
            <w:tcW w:type="dxa" w:w="324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Соңғы нақты сапар жағдайы</w:t>
            </w:r>
          </w:p>
        </w:tc>
        <w:tc>
          <w:tcPr>
            <w:tcW w:type="dxa" w:w="61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Соңғы университеттік сервисті пилотқа шығарғанда келісу кеш басталып, қауіпсіздік пен қолдау талаптары дайын релиз алдында ғана анықталған. Команда екі апта ішінде рөлдер мен журналдауды қайта өңдеген.</w:t>
            </w:r>
          </w:p>
        </w:tc>
      </w:tr>
      <w:tr>
        <w:trPr>
          <w:cantSplit/>
        </w:trPr>
        <w:tc>
          <w:tcPr>
            <w:tcW w:type="dxa" w:w="324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Модельдік дәйексөз</w:t>
            </w:r>
          </w:p>
        </w:tc>
        <w:tc>
          <w:tcPr>
            <w:tcW w:type="dxa" w:w="61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«Маған функциялар тізімінен бұрын кім кіретінін, қандай дерек сақталатынын және инцидент кезінде кім жауап беретінін көрсету керек». Модельдік дәйексөз.</w:t>
            </w:r>
          </w:p>
        </w:tc>
      </w:tr>
      <w:tr>
        <w:trPr>
          <w:cantSplit/>
        </w:trPr>
        <w:tc>
          <w:tcPr>
            <w:tcW w:type="dxa" w:w="324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Негізгі мәселе</w:t>
            </w:r>
          </w:p>
        </w:tc>
        <w:tc>
          <w:tcPr>
            <w:tcW w:type="dxa" w:w="61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Тапсырыс беруші үшін іске қосу шарты тек функционал емес: ENU аккаунты, рөлдік қолжетімділік, аудит және пайдалану дайындығы міндетті.</w:t>
            </w:r>
          </w:p>
        </w:tc>
      </w:tr>
      <w:tr>
        <w:trPr>
          <w:cantSplit/>
        </w:trPr>
        <w:tc>
          <w:tcPr>
            <w:tcW w:type="dxa" w:w="324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Теріске шыққан болжам</w:t>
            </w:r>
          </w:p>
        </w:tc>
        <w:tc>
          <w:tcPr>
            <w:tcW w:type="dxa" w:w="61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Бастапқы болжам: MVP-ді пайдаланушы функциялары дайын болғанда пилотқа беруге болады. Модель нәтижесі бойынша қауіпсіздік пен эксплуатация критерийлері де release gate болады.</w:t>
            </w:r>
          </w:p>
        </w:tc>
      </w:tr>
      <w:tr>
        <w:trPr>
          <w:cantSplit/>
        </w:trPr>
        <w:tc>
          <w:tcPr>
            <w:tcW w:type="dxa" w:w="324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Backlog-тағы өзгеріс және US ID</w:t>
            </w:r>
          </w:p>
        </w:tc>
        <w:tc>
          <w:tcPr>
            <w:tcW w:type="dxa" w:w="61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US-01 MVP-де қалды; US-16 Release 2-де сақталды; NFR-06, NFR-10 және NFR-17 қабылдау шарттарына енгізілді.</w:t>
            </w:r>
          </w:p>
        </w:tc>
      </w:tr>
    </w:tbl>
    <w:p>
      <w:pPr>
        <w:spacing w:after="40"/>
      </w:pPr>
    </w:p>
    <w:p>
      <w:pPr>
        <w:keepNext/>
        <w:spacing w:before="180" w:after="100"/>
      </w:pPr>
      <w:r>
        <w:rPr>
          <w:rFonts w:ascii="Segoe UI" w:hAnsi="Segoe UI" w:eastAsia="Segoe UI"/>
          <w:b/>
          <w:i w:val="0"/>
          <w:color w:val="232323"/>
          <w:sz w:val="24"/>
        </w:rPr>
        <w:t>Сұхбаттарды салыстыру және шешім</w:t>
      </w:r>
    </w:p>
    <w:tbl>
      <w:tblPr>
        <w:tblW w:type="auto" w:w="0"/>
        <w:jc w:val="center"/>
        <w:tblLayout w:type="fixed"/>
        <w:tblLook w:firstColumn="1" w:firstRow="1" w:lastColumn="0" w:lastRow="0" w:noHBand="0" w:noVBand="1" w:val="04A0"/>
        <w:tblBorders>
          <w:top w:val="single" w:sz="5" w:color="9DCBE8"/>
          <w:left w:val="single" w:sz="5" w:color="9DCBE8"/>
          <w:bottom w:val="single" w:sz="5" w:color="9DCBE8"/>
          <w:right w:val="single" w:sz="5" w:color="9DCBE8"/>
          <w:insideH w:val="single" w:sz="5" w:color="9DCBE8"/>
          <w:insideV w:val="single" w:sz="5" w:color="9DCBE8"/>
        </w:tblBorders>
      </w:tblPr>
      <w:tblGrid>
        <w:gridCol w:w="2387"/>
        <w:gridCol w:w="2387"/>
        <w:gridCol w:w="2387"/>
        <w:gridCol w:w="2387"/>
      </w:tblGrid>
      <w:tr>
        <w:trPr>
          <w:tblHeader/>
          <w:cantSplit/>
        </w:trPr>
        <w:tc>
          <w:tcPr>
            <w:tcW w:type="dxa" w:w="2880"/>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Тексерілген гипотеза</w:t>
            </w:r>
          </w:p>
        </w:tc>
        <w:tc>
          <w:tcPr>
            <w:tcW w:type="dxa" w:w="208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1-модель дәлелі</w:t>
            </w:r>
          </w:p>
        </w:tc>
        <w:tc>
          <w:tcPr>
            <w:tcW w:type="dxa" w:w="208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2-модель дәлелі</w:t>
            </w:r>
          </w:p>
        </w:tc>
        <w:tc>
          <w:tcPr>
            <w:tcW w:type="dxa" w:w="2304"/>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Backlog шешімі</w:t>
            </w:r>
          </w:p>
        </w:tc>
      </w:tr>
      <w:tr>
        <w:trPr>
          <w:cantSplit/>
        </w:trPr>
        <w:tc>
          <w:tcPr>
            <w:tcW w:type="dxa" w:w="288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Сапарлас іздеу 10 минуттан көп уақыт алады</w:t>
            </w:r>
          </w:p>
        </w:tc>
        <w:tc>
          <w:tcPr>
            <w:tcW w:type="dxa" w:w="20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22 минут жауап күтті</w:t>
            </w:r>
          </w:p>
        </w:tc>
        <w:tc>
          <w:tcPr>
            <w:tcW w:type="dxa" w:w="20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Тапсырыс беруші үшін негізгі өлшем емес</w:t>
            </w:r>
          </w:p>
        </w:tc>
        <w:tc>
          <w:tcPr>
            <w:tcW w:type="dxa" w:w="230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Іздеу мен мәртебе хабарламасы MVP-де</w:t>
            </w:r>
          </w:p>
        </w:tc>
      </w:tr>
      <w:tr>
        <w:trPr>
          <w:cantSplit/>
        </w:trPr>
        <w:tc>
          <w:tcPr>
            <w:tcW w:type="dxa" w:w="288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ENU аккаунтымен тексеру міндетті</w:t>
            </w:r>
          </w:p>
        </w:tc>
        <w:tc>
          <w:tcPr>
            <w:tcW w:type="dxa" w:w="208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Verified мәртебесін сұрады</w:t>
            </w:r>
          </w:p>
        </w:tc>
        <w:tc>
          <w:tcPr>
            <w:tcW w:type="dxa" w:w="208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Пилоттың іске қосу шарты деп атады</w:t>
            </w:r>
          </w:p>
        </w:tc>
        <w:tc>
          <w:tcPr>
            <w:tcW w:type="dxa" w:w="230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US-01 және US-04 MVP-де қалды</w:t>
            </w:r>
          </w:p>
        </w:tc>
      </w:tr>
      <w:tr>
        <w:trPr>
          <w:cantSplit/>
        </w:trPr>
        <w:tc>
          <w:tcPr>
            <w:tcW w:type="dxa" w:w="288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Бағыт, уақыт, бос орын және шығын үлесі міндетті</w:t>
            </w:r>
          </w:p>
        </w:tc>
        <w:tc>
          <w:tcPr>
            <w:tcW w:type="dxa" w:w="20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Баға мен кездесу нүктесін сұрады</w:t>
            </w:r>
          </w:p>
        </w:tc>
        <w:tc>
          <w:tcPr>
            <w:tcW w:type="dxa" w:w="20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Деректердің минималды құрамын келісуді сұрады</w:t>
            </w:r>
          </w:p>
        </w:tc>
        <w:tc>
          <w:tcPr>
            <w:tcW w:type="dxa" w:w="230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US-04, US-06 және US-07 расталды</w:t>
            </w:r>
          </w:p>
        </w:tc>
      </w:tr>
      <w:tr>
        <w:trPr>
          <w:cantSplit/>
        </w:trPr>
        <w:tc>
          <w:tcPr>
            <w:tcW w:type="dxa" w:w="288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Бас тарту туралы жедел хабарлама қажет</w:t>
            </w:r>
          </w:p>
        </w:tc>
        <w:tc>
          <w:tcPr>
            <w:tcW w:type="dxa" w:w="208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Жауап уақытын маңызды деді</w:t>
            </w:r>
          </w:p>
        </w:tc>
        <w:tc>
          <w:tcPr>
            <w:tcW w:type="dxa" w:w="208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Инцидент иесі мен журналын сұрады</w:t>
            </w:r>
          </w:p>
        </w:tc>
        <w:tc>
          <w:tcPr>
            <w:tcW w:type="dxa" w:w="230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US-17 MVP-ге ауысты; NFR-14 сақталды</w:t>
            </w:r>
          </w:p>
        </w:tc>
      </w:tr>
      <w:tr>
        <w:trPr>
          <w:cantSplit/>
        </w:trPr>
        <w:tc>
          <w:tcPr>
            <w:tcW w:type="dxa" w:w="288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Қауіпсіздік пен эксплуатация release gate болады</w:t>
            </w:r>
          </w:p>
        </w:tc>
        <w:tc>
          <w:tcPr>
            <w:tcW w:type="dxa" w:w="20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Сенім үшін профиль керек</w:t>
            </w:r>
          </w:p>
        </w:tc>
        <w:tc>
          <w:tcPr>
            <w:tcW w:type="dxa" w:w="20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Рөл, аудит және қолдау міндетті деді</w:t>
            </w:r>
          </w:p>
        </w:tc>
        <w:tc>
          <w:tcPr>
            <w:tcW w:type="dxa" w:w="230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NFR-06, NFR-10 және NFR-17 қосылды</w:t>
            </w:r>
          </w:p>
        </w:tc>
      </w:tr>
    </w:tbl>
    <w:p>
      <w:pPr>
        <w:spacing w:after="40"/>
      </w:pPr>
    </w:p>
    <w:p>
      <w:pPr>
        <w:keepLines/>
        <w:spacing w:after="140" w:line="269" w:lineRule="auto"/>
        <w:jc w:val="both"/>
      </w:pPr>
      <w:r>
        <w:rPr>
          <w:rFonts w:ascii="Segoe UI" w:hAnsi="Segoe UI" w:eastAsia="Segoe UI"/>
          <w:b w:val="0"/>
          <w:i w:val="0"/>
          <w:color w:val="232323"/>
          <w:sz w:val="21"/>
        </w:rPr>
        <w:t>Маңызды ереже: интервьюден кейін функция тек қосылуы емес, MVP-ден шығарылуы немесе басымдығы төмендетілуі де мүмкін. Бұл discovery нәтижесі болып саналады.</w:t>
      </w:r>
    </w:p>
    <w:p>
      <w:pPr>
        <w:keepNext/>
        <w:spacing w:before="180" w:after="100"/>
      </w:pPr>
      <w:r>
        <w:rPr>
          <w:rFonts w:ascii="Segoe UI" w:hAnsi="Segoe UI" w:eastAsia="Segoe UI"/>
          <w:b/>
          <w:i w:val="0"/>
          <w:color w:val="232323"/>
          <w:sz w:val="24"/>
        </w:rPr>
        <w:t>Сұхбат сұрақтары</w:t>
      </w:r>
    </w:p>
    <w:p>
      <w:pPr>
        <w:keepLines/>
        <w:spacing w:after="140" w:line="269" w:lineRule="auto"/>
        <w:jc w:val="both"/>
      </w:pPr>
      <w:r>
        <w:rPr>
          <w:rFonts w:ascii="Segoe UI" w:hAnsi="Segoe UI" w:eastAsia="Segoe UI"/>
          <w:b w:val="0"/>
          <w:i w:val="0"/>
          <w:color w:val="232323"/>
          <w:sz w:val="21"/>
        </w:rPr>
        <w:t>Сұрақтар болашақтағы ниетке емес, соңғы нақты жағдайға бағытталған. «Сізге ыңғайлы болар ма еді?» түріндегі жетекші сұрақ қолданылмайды.</w:t>
      </w:r>
    </w:p>
    <w:tbl>
      <w:tblPr>
        <w:tblW w:type="auto" w:w="0"/>
        <w:jc w:val="center"/>
        <w:tblLayout w:type="fixed"/>
        <w:tblLook w:firstColumn="1" w:firstRow="1" w:lastColumn="0" w:lastRow="0" w:noHBand="0" w:noVBand="1" w:val="04A0"/>
        <w:tblBorders>
          <w:top w:val="single" w:sz="5" w:color="9DCBE8"/>
          <w:left w:val="single" w:sz="5" w:color="9DCBE8"/>
          <w:bottom w:val="single" w:sz="5" w:color="9DCBE8"/>
          <w:right w:val="single" w:sz="5" w:color="9DCBE8"/>
          <w:insideH w:val="single" w:sz="5" w:color="9DCBE8"/>
          <w:insideV w:val="single" w:sz="5" w:color="9DCBE8"/>
        </w:tblBorders>
      </w:tblPr>
      <w:tblGrid>
        <w:gridCol w:w="3182"/>
        <w:gridCol w:w="3182"/>
        <w:gridCol w:w="3182"/>
      </w:tblGrid>
      <w:tr>
        <w:trPr>
          <w:tblHeader/>
          <w:cantSplit/>
        </w:trPr>
        <w:tc>
          <w:tcPr>
            <w:tcW w:type="dxa" w:w="576"/>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6"/>
              </w:rPr>
              <w:t>№</w:t>
            </w:r>
          </w:p>
        </w:tc>
        <w:tc>
          <w:tcPr>
            <w:tcW w:type="dxa" w:w="1656"/>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6"/>
              </w:rPr>
              <w:t>Кімге</w:t>
            </w:r>
          </w:p>
        </w:tc>
        <w:tc>
          <w:tcPr>
            <w:tcW w:type="dxa" w:w="712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6"/>
              </w:rPr>
              <w:t>Сұрақ</w:t>
            </w:r>
          </w:p>
        </w:tc>
      </w:tr>
      <w:tr>
        <w:trPr>
          <w:cantSplit/>
        </w:trPr>
        <w:tc>
          <w:tcPr>
            <w:tcW w:type="dxa" w:w="57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1</w:t>
            </w:r>
          </w:p>
        </w:tc>
        <w:tc>
          <w:tcPr>
            <w:tcW w:type="dxa" w:w="165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Пайдаланушы</w:t>
            </w:r>
          </w:p>
        </w:tc>
        <w:tc>
          <w:tcPr>
            <w:tcW w:type="dxa" w:w="712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6"/>
              </w:rPr>
              <w:t>Соңғы рет университетке қалай бардыңыз және көлік таңдау шешімін қалай қабылдадыңыз?</w:t>
            </w:r>
          </w:p>
        </w:tc>
      </w:tr>
      <w:tr>
        <w:trPr>
          <w:cantSplit/>
        </w:trPr>
        <w:tc>
          <w:tcPr>
            <w:tcW w:type="dxa" w:w="57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2</w:t>
            </w:r>
          </w:p>
        </w:tc>
        <w:tc>
          <w:tcPr>
            <w:tcW w:type="dxa" w:w="165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Пайдаланушы</w:t>
            </w:r>
          </w:p>
        </w:tc>
        <w:tc>
          <w:tcPr>
            <w:tcW w:type="dxa" w:w="712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6"/>
              </w:rPr>
              <w:t>Соңғы рет сапарлас іздеген жағдайды қадам бойынша айтып беріңіз.</w:t>
            </w:r>
          </w:p>
        </w:tc>
      </w:tr>
      <w:tr>
        <w:trPr>
          <w:cantSplit/>
        </w:trPr>
        <w:tc>
          <w:tcPr>
            <w:tcW w:type="dxa" w:w="57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3</w:t>
            </w:r>
          </w:p>
        </w:tc>
        <w:tc>
          <w:tcPr>
            <w:tcW w:type="dxa" w:w="165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Пайдаланушы</w:t>
            </w:r>
          </w:p>
        </w:tc>
        <w:tc>
          <w:tcPr>
            <w:tcW w:type="dxa" w:w="712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6"/>
              </w:rPr>
              <w:t>Сол жағдайда іздеуге қанша уақыт кетті және нәтиже қандай болды?</w:t>
            </w:r>
          </w:p>
        </w:tc>
      </w:tr>
      <w:tr>
        <w:trPr>
          <w:cantSplit/>
        </w:trPr>
        <w:tc>
          <w:tcPr>
            <w:tcW w:type="dxa" w:w="57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4</w:t>
            </w:r>
          </w:p>
        </w:tc>
        <w:tc>
          <w:tcPr>
            <w:tcW w:type="dxa" w:w="165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Пайдаланушы</w:t>
            </w:r>
          </w:p>
        </w:tc>
        <w:tc>
          <w:tcPr>
            <w:tcW w:type="dxa" w:w="712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6"/>
              </w:rPr>
              <w:t>Шешім қабылдамас бұрын қандай ақпаратты тексердіңіз?</w:t>
            </w:r>
          </w:p>
        </w:tc>
      </w:tr>
      <w:tr>
        <w:trPr>
          <w:cantSplit/>
        </w:trPr>
        <w:tc>
          <w:tcPr>
            <w:tcW w:type="dxa" w:w="57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5</w:t>
            </w:r>
          </w:p>
        </w:tc>
        <w:tc>
          <w:tcPr>
            <w:tcW w:type="dxa" w:w="165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Пайдаланушы</w:t>
            </w:r>
          </w:p>
        </w:tc>
        <w:tc>
          <w:tcPr>
            <w:tcW w:type="dxa" w:w="712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6"/>
              </w:rPr>
              <w:t>Қай сәтте сапардан бас тарттыңыз немесе басқа тәсілді таңдадыңыз?</w:t>
            </w:r>
          </w:p>
        </w:tc>
      </w:tr>
      <w:tr>
        <w:trPr>
          <w:cantSplit/>
        </w:trPr>
        <w:tc>
          <w:tcPr>
            <w:tcW w:type="dxa" w:w="57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6</w:t>
            </w:r>
          </w:p>
        </w:tc>
        <w:tc>
          <w:tcPr>
            <w:tcW w:type="dxa" w:w="165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Пайдаланушы</w:t>
            </w:r>
          </w:p>
        </w:tc>
        <w:tc>
          <w:tcPr>
            <w:tcW w:type="dxa" w:w="712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6"/>
              </w:rPr>
              <w:t>Соңғы бас тарту немесе кешігу кезінде қандай хабарлама алдыңыз?</w:t>
            </w:r>
          </w:p>
        </w:tc>
      </w:tr>
      <w:tr>
        <w:trPr>
          <w:cantSplit/>
        </w:trPr>
        <w:tc>
          <w:tcPr>
            <w:tcW w:type="dxa" w:w="57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7</w:t>
            </w:r>
          </w:p>
        </w:tc>
        <w:tc>
          <w:tcPr>
            <w:tcW w:type="dxa" w:w="165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Тапсырыс беруші</w:t>
            </w:r>
          </w:p>
        </w:tc>
        <w:tc>
          <w:tcPr>
            <w:tcW w:type="dxa" w:w="712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6"/>
              </w:rPr>
              <w:t>Соңғы цифрлық сервисті пилотқа шығарған жағдайды қадам бойынша сипаттаңыз.</w:t>
            </w:r>
          </w:p>
        </w:tc>
      </w:tr>
      <w:tr>
        <w:trPr>
          <w:cantSplit/>
        </w:trPr>
        <w:tc>
          <w:tcPr>
            <w:tcW w:type="dxa" w:w="57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8</w:t>
            </w:r>
          </w:p>
        </w:tc>
        <w:tc>
          <w:tcPr>
            <w:tcW w:type="dxa" w:w="165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Тапсырыс беруші</w:t>
            </w:r>
          </w:p>
        </w:tc>
        <w:tc>
          <w:tcPr>
            <w:tcW w:type="dxa" w:w="712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6"/>
              </w:rPr>
              <w:t>Іске қосу алдында қай бөлім немесе келісім ең көп кідіріс жасады?</w:t>
            </w:r>
          </w:p>
        </w:tc>
      </w:tr>
      <w:tr>
        <w:trPr>
          <w:cantSplit/>
        </w:trPr>
        <w:tc>
          <w:tcPr>
            <w:tcW w:type="dxa" w:w="57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9</w:t>
            </w:r>
          </w:p>
        </w:tc>
        <w:tc>
          <w:tcPr>
            <w:tcW w:type="dxa" w:w="165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Тапсырыс беруші</w:t>
            </w:r>
          </w:p>
        </w:tc>
        <w:tc>
          <w:tcPr>
            <w:tcW w:type="dxa" w:w="712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6"/>
              </w:rPr>
              <w:t>Соңғы он сұрау немесе инциденттің қай түрі жиі қайталанды?</w:t>
            </w:r>
          </w:p>
        </w:tc>
      </w:tr>
      <w:tr>
        <w:trPr>
          <w:cantSplit/>
        </w:trPr>
        <w:tc>
          <w:tcPr>
            <w:tcW w:type="dxa" w:w="57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10</w:t>
            </w:r>
          </w:p>
        </w:tc>
        <w:tc>
          <w:tcPr>
            <w:tcW w:type="dxa" w:w="165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Тапсырыс беруші</w:t>
            </w:r>
          </w:p>
        </w:tc>
        <w:tc>
          <w:tcPr>
            <w:tcW w:type="dxa" w:w="712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6"/>
              </w:rPr>
              <w:t>Қандай деректер мен әрекеттер міндетті түрде аудит журналында болуы керек?</w:t>
            </w:r>
          </w:p>
        </w:tc>
      </w:tr>
      <w:tr>
        <w:trPr>
          <w:cantSplit/>
        </w:trPr>
        <w:tc>
          <w:tcPr>
            <w:tcW w:type="dxa" w:w="57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11</w:t>
            </w:r>
          </w:p>
        </w:tc>
        <w:tc>
          <w:tcPr>
            <w:tcW w:type="dxa" w:w="165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Тапсырыс беруші</w:t>
            </w:r>
          </w:p>
        </w:tc>
        <w:tc>
          <w:tcPr>
            <w:tcW w:type="dxa" w:w="712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6"/>
              </w:rPr>
              <w:t>Пилотты тоқтатуға мәжбүр ететін нақты шарттарды атаңыз.</w:t>
            </w:r>
          </w:p>
        </w:tc>
      </w:tr>
      <w:tr>
        <w:trPr>
          <w:cantSplit/>
        </w:trPr>
        <w:tc>
          <w:tcPr>
            <w:tcW w:type="dxa" w:w="57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12</w:t>
            </w:r>
          </w:p>
        </w:tc>
        <w:tc>
          <w:tcPr>
            <w:tcW w:type="dxa" w:w="165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Тапсырыс беруші</w:t>
            </w:r>
          </w:p>
        </w:tc>
        <w:tc>
          <w:tcPr>
            <w:tcW w:type="dxa" w:w="712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6"/>
              </w:rPr>
              <w:t>Қабылдау кезінде қандай сандық көрсеткіштерді көргіңіз келеді?</w:t>
            </w:r>
          </w:p>
        </w:tc>
      </w:tr>
    </w:tbl>
    <w:p>
      <w:pPr>
        <w:spacing w:after="40"/>
      </w:pPr>
    </w:p>
    <w:p>
      <w:pPr>
        <w:keepNext/>
        <w:spacing w:before="280" w:after="100"/>
      </w:pPr>
      <w:r>
        <w:rPr>
          <w:rFonts w:ascii="Segoe UI" w:hAnsi="Segoe UI" w:eastAsia="Segoe UI"/>
          <w:b/>
          <w:i w:val="0"/>
          <w:color w:val="232323"/>
          <w:sz w:val="32"/>
        </w:rPr>
        <w:t>3 бөлім Story map және MVP срезі</w:t>
      </w:r>
    </w:p>
    <w:p>
      <w:pPr>
        <w:keepLines/>
        <w:spacing w:after="140" w:line="269" w:lineRule="auto"/>
        <w:jc w:val="both"/>
      </w:pPr>
      <w:r>
        <w:rPr>
          <w:rFonts w:ascii="Segoe UI" w:hAnsi="Segoe UI" w:eastAsia="Segoe UI"/>
          <w:b w:val="0"/>
          <w:i w:val="0"/>
          <w:color w:val="232323"/>
          <w:sz w:val="21"/>
        </w:rPr>
        <w:t>Story map пайдаланушы жолын солдан оңға қарай көрсетеді. MVP — жеке функциялардың тізімі емес, тіркелуден сапар аяқталғанға дейін жұмыс істейтін walking skeleton.</w:t>
      </w:r>
    </w:p>
    <w:tbl>
      <w:tblPr>
        <w:tblW w:type="auto" w:w="0"/>
        <w:jc w:val="center"/>
        <w:tblLayout w:type="fixed"/>
        <w:tblLook w:firstColumn="1" w:firstRow="1" w:lastColumn="0" w:lastRow="0" w:noHBand="0" w:noVBand="1" w:val="04A0"/>
        <w:tblBorders>
          <w:top w:val="single" w:sz="5" w:color="9DCBE8"/>
          <w:left w:val="single" w:sz="5" w:color="9DCBE8"/>
          <w:bottom w:val="single" w:sz="5" w:color="9DCBE8"/>
          <w:right w:val="single" w:sz="5" w:color="9DCBE8"/>
          <w:insideH w:val="single" w:sz="5" w:color="9DCBE8"/>
          <w:insideV w:val="single" w:sz="5" w:color="9DCBE8"/>
        </w:tblBorders>
      </w:tblPr>
      <w:tblGrid>
        <w:gridCol w:w="1364"/>
        <w:gridCol w:w="1364"/>
        <w:gridCol w:w="1364"/>
        <w:gridCol w:w="1364"/>
        <w:gridCol w:w="1364"/>
        <w:gridCol w:w="1364"/>
        <w:gridCol w:w="1364"/>
      </w:tblGrid>
      <w:tr>
        <w:trPr>
          <w:tblHeader/>
          <w:cantSplit/>
        </w:trPr>
        <w:tc>
          <w:tcPr>
            <w:tcW w:type="dxa" w:w="936"/>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Срез</w:t>
            </w:r>
          </w:p>
        </w:tc>
        <w:tc>
          <w:tcPr>
            <w:tcW w:type="dxa" w:w="1224"/>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Тіркелу</w:t>
            </w:r>
          </w:p>
        </w:tc>
        <w:tc>
          <w:tcPr>
            <w:tcW w:type="dxa" w:w="136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Сапарды іздеу</w:t>
            </w:r>
          </w:p>
        </w:tc>
        <w:tc>
          <w:tcPr>
            <w:tcW w:type="dxa" w:w="1512"/>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Сапар құру</w:t>
            </w:r>
          </w:p>
        </w:tc>
        <w:tc>
          <w:tcPr>
            <w:tcW w:type="dxa" w:w="1152"/>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Қосылу</w:t>
            </w:r>
          </w:p>
        </w:tc>
        <w:tc>
          <w:tcPr>
            <w:tcW w:type="dxa" w:w="1512"/>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Басқару</w:t>
            </w:r>
          </w:p>
        </w:tc>
        <w:tc>
          <w:tcPr>
            <w:tcW w:type="dxa" w:w="1656"/>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Кері байланыс</w:t>
            </w:r>
          </w:p>
        </w:tc>
      </w:tr>
      <w:tr>
        <w:trPr>
          <w:cantSplit/>
        </w:trPr>
        <w:tc>
          <w:tcPr>
            <w:tcW w:type="dxa" w:w="93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MVP</w:t>
            </w:r>
          </w:p>
        </w:tc>
        <w:tc>
          <w:tcPr>
            <w:tcW w:type="dxa" w:w="122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ENU аккаунты; профиль</w:t>
            </w:r>
          </w:p>
        </w:tc>
        <w:tc>
          <w:tcPr>
            <w:tcW w:type="dxa" w:w="136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Бағыт, күн; карточка</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Маршрут, уақыт, орын, үлес</w:t>
            </w:r>
          </w:p>
        </w:tc>
        <w:tc>
          <w:tcPr>
            <w:tcW w:type="dxa" w:w="115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Сұрау; қабылдау</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Менің сапарларым; бас тарту; жабу; мәртебе хабарламасы</w:t>
            </w:r>
          </w:p>
        </w:tc>
        <w:tc>
          <w:tcPr>
            <w:tcW w:type="dxa" w:w="165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MVP-де жоқ</w:t>
            </w:r>
          </w:p>
        </w:tc>
      </w:tr>
      <w:tr>
        <w:trPr>
          <w:cantSplit/>
        </w:trPr>
        <w:tc>
          <w:tcPr>
            <w:tcW w:type="dxa" w:w="93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Release 2</w:t>
            </w:r>
          </w:p>
        </w:tc>
        <w:tc>
          <w:tcPr>
            <w:tcW w:type="dxa" w:w="122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Қосымша профиль</w:t>
            </w:r>
          </w:p>
        </w:tc>
        <w:tc>
          <w:tcPr>
            <w:tcW w:type="dxa" w:w="136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Қосымша сүзгілер</w:t>
            </w:r>
          </w:p>
        </w:tc>
        <w:tc>
          <w:tcPr>
            <w:tcW w:type="dxa" w:w="151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Қайталанатын сапар</w:t>
            </w:r>
          </w:p>
        </w:tc>
        <w:tc>
          <w:tcPr>
            <w:tcW w:type="dxa" w:w="115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Күту тізімі</w:t>
            </w:r>
          </w:p>
        </w:tc>
        <w:tc>
          <w:tcPr>
            <w:tcW w:type="dxa" w:w="151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Push еске салу</w:t>
            </w:r>
          </w:p>
        </w:tc>
        <w:tc>
          <w:tcPr>
            <w:tcW w:type="dxa" w:w="165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Рейтинг; шағым; бұғаттау; модерация</w:t>
            </w:r>
          </w:p>
        </w:tc>
      </w:tr>
      <w:tr>
        <w:trPr>
          <w:cantSplit/>
        </w:trPr>
        <w:tc>
          <w:tcPr>
            <w:tcW w:type="dxa" w:w="93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Release 3</w:t>
            </w:r>
          </w:p>
        </w:tc>
        <w:tc>
          <w:tcPr>
            <w:tcW w:type="dxa" w:w="122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Қосымша тексеру</w:t>
            </w:r>
          </w:p>
        </w:tc>
        <w:tc>
          <w:tcPr>
            <w:tcW w:type="dxa" w:w="136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Ұсыныстар</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Шаблондар</w:t>
            </w:r>
          </w:p>
        </w:tc>
        <w:tc>
          <w:tcPr>
            <w:tcW w:type="dxa" w:w="115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Авторастау</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Күнтізбе</w:t>
            </w:r>
          </w:p>
        </w:tc>
        <w:tc>
          <w:tcPr>
            <w:tcW w:type="dxa" w:w="165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Аналитика; кеңейтілген локализация</w:t>
            </w:r>
          </w:p>
        </w:tc>
      </w:tr>
    </w:tbl>
    <w:p>
      <w:pPr>
        <w:spacing w:after="40"/>
      </w:pPr>
    </w:p>
    <w:p>
      <w:pPr>
        <w:keepLines/>
        <w:spacing w:after="140" w:line="269" w:lineRule="auto"/>
        <w:jc w:val="both"/>
      </w:pPr>
      <w:r>
        <w:rPr>
          <w:rFonts w:ascii="Segoe UI" w:hAnsi="Segoe UI" w:eastAsia="Segoe UI"/>
          <w:b/>
          <w:i w:val="0"/>
          <w:color w:val="232323"/>
          <w:sz w:val="21"/>
        </w:rPr>
        <w:t xml:space="preserve">MVP шекарасы: </w:t>
      </w:r>
      <w:r>
        <w:rPr>
          <w:rFonts w:ascii="Segoe UI" w:hAnsi="Segoe UI" w:eastAsia="Segoe UI"/>
          <w:b w:val="0"/>
          <w:i w:val="0"/>
          <w:color w:val="232323"/>
          <w:sz w:val="21"/>
        </w:rPr>
        <w:t>ішкі төлем, коммерциялық такси шақыру, жүргізуші навигациясы, сақтандыру, төтенше қызмет және сапардың міндетті орындалуына кепілдік әдейі енгізілмейді.</w:t>
      </w:r>
    </w:p>
    <w:p>
      <w:pPr>
        <w:keepLines/>
        <w:spacing w:after="140" w:line="269" w:lineRule="auto"/>
        <w:jc w:val="both"/>
      </w:pPr>
      <w:r>
        <w:rPr>
          <w:rFonts w:ascii="Segoe UI" w:hAnsi="Segoe UI" w:eastAsia="Segoe UI"/>
          <w:b w:val="0"/>
          <w:i w:val="0"/>
          <w:color w:val="232323"/>
          <w:sz w:val="21"/>
        </w:rPr>
        <w:t>Story map әдістемеге сай docs/requirements/story-map.excalidraw және docs/requirements/story-map.png файлдары ретінде беріледі. Жоғарғы қатарда пайдаланушы қадамдары, төменде қажеттілік бойынша реттелген тарихтар, ал MVP көлденең срезбен көрсетілген.</w:t>
      </w:r>
    </w:p>
    <w:p>
      <w:pPr>
        <w:keepNext/>
        <w:spacing w:before="280" w:after="100"/>
      </w:pPr>
      <w:r>
        <w:rPr>
          <w:rFonts w:ascii="Segoe UI" w:hAnsi="Segoe UI" w:eastAsia="Segoe UI"/>
          <w:b/>
          <w:i w:val="0"/>
          <w:color w:val="232323"/>
          <w:sz w:val="32"/>
        </w:rPr>
        <w:t>4 бөлім Өнім бэклогы</w:t>
      </w:r>
    </w:p>
    <w:p>
      <w:pPr>
        <w:keepLines/>
        <w:spacing w:after="140" w:line="269" w:lineRule="auto"/>
        <w:jc w:val="both"/>
      </w:pPr>
      <w:r>
        <w:rPr>
          <w:rFonts w:ascii="Segoe UI" w:hAnsi="Segoe UI" w:eastAsia="Segoe UI"/>
          <w:b w:val="0"/>
          <w:i w:val="0"/>
          <w:color w:val="232323"/>
          <w:sz w:val="21"/>
        </w:rPr>
        <w:t>Бэклогта 18 user story бар. Әр тарихта тексерілетін acceptance criteria, story point, эпик, белгі және релиз көрсетілген.</w:t>
      </w:r>
    </w:p>
    <w:p>
      <w:pPr>
        <w:keepLines/>
        <w:spacing w:after="140" w:line="269" w:lineRule="auto"/>
        <w:jc w:val="both"/>
      </w:pPr>
      <w:r>
        <w:rPr>
          <w:rFonts w:ascii="Segoe UI" w:hAnsi="Segoe UI" w:eastAsia="Segoe UI"/>
          <w:b w:val="0"/>
          <w:i w:val="0"/>
          <w:color w:val="232323"/>
          <w:sz w:val="21"/>
        </w:rPr>
        <w:t>Нақты трекер: https://github.com/nypucjiam-create/ENUWay/issues. User story-лер [US-01]–[US-18] атауларымен GitHub Issues ішінде #12–#29 тапсырмалары ретінде тіркелді; репозиторийдегі бұрыннан бар тапсырмалар өзгертілмеді.</w:t>
      </w:r>
    </w:p>
    <w:tbl>
      <w:tblPr>
        <w:tblW w:type="auto" w:w="0"/>
        <w:jc w:val="center"/>
        <w:tblLayout w:type="fixed"/>
        <w:tblLook w:firstColumn="1" w:firstRow="1" w:lastColumn="0" w:lastRow="0" w:noHBand="0" w:noVBand="1" w:val="04A0"/>
        <w:tblBorders>
          <w:top w:val="single" w:sz="5" w:color="9DCBE8"/>
          <w:left w:val="single" w:sz="5" w:color="9DCBE8"/>
          <w:bottom w:val="single" w:sz="5" w:color="9DCBE8"/>
          <w:right w:val="single" w:sz="5" w:color="9DCBE8"/>
          <w:insideH w:val="single" w:sz="5" w:color="9DCBE8"/>
          <w:insideV w:val="single" w:sz="5" w:color="9DCBE8"/>
        </w:tblBorders>
      </w:tblPr>
      <w:tblGrid>
        <w:gridCol w:w="1591"/>
        <w:gridCol w:w="1591"/>
        <w:gridCol w:w="1591"/>
        <w:gridCol w:w="1591"/>
        <w:gridCol w:w="1591"/>
        <w:gridCol w:w="1591"/>
      </w:tblGrid>
      <w:tr>
        <w:trPr>
          <w:tblHeader/>
          <w:cantSplit/>
        </w:trPr>
        <w:tc>
          <w:tcPr>
            <w:tcW w:type="dxa" w:w="64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ID</w:t>
            </w:r>
          </w:p>
        </w:tc>
        <w:tc>
          <w:tcPr>
            <w:tcW w:type="dxa" w:w="2520"/>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User story</w:t>
            </w:r>
          </w:p>
        </w:tc>
        <w:tc>
          <w:tcPr>
            <w:tcW w:type="dxa" w:w="3456"/>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Қабылдау критерийі</w:t>
            </w:r>
          </w:p>
        </w:tc>
        <w:tc>
          <w:tcPr>
            <w:tcW w:type="dxa" w:w="504"/>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SP</w:t>
            </w:r>
          </w:p>
        </w:tc>
        <w:tc>
          <w:tcPr>
            <w:tcW w:type="dxa" w:w="1512"/>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Эпик және белгі</w:t>
            </w:r>
          </w:p>
        </w:tc>
        <w:tc>
          <w:tcPr>
            <w:tcW w:type="dxa" w:w="936"/>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4"/>
              </w:rPr>
              <w:t>Релиз</w:t>
            </w:r>
          </w:p>
        </w:tc>
      </w:tr>
      <w:tr>
        <w:trPr>
          <w:cantSplit/>
        </w:trPr>
        <w:tc>
          <w:tcPr>
            <w:tcW w:type="dxa" w:w="64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US-01</w:t>
            </w:r>
          </w:p>
        </w:tc>
        <w:tc>
          <w:tcPr>
            <w:tcW w:type="dxa" w:w="25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ENU аккаунтымен тіркелу</w:t>
              <w:br/>
              <w:t>Студент ретінде ENU аккаунтыммен тіркелгім келеді, сонда тек университет қауымдастығы сервиске кіре алады.</w:t>
            </w:r>
          </w:p>
        </w:tc>
        <w:tc>
          <w:tcPr>
            <w:tcW w:type="dxa" w:w="345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Оң сценарий: Given қолданушыда жарамды ENU поштасы бар; When растау сілтемесін қолданады; Then профиль verified мәртебесімен ашылады. Жарамсыз домен қабылданбайды.</w:t>
              <w:br/>
              <w:t>Теріс сценарий: Given пошта домені ENU-ға тиесілі емес; When пайдаланушы тіркелуді жібереді; Then жүйе сұрауды қабылдамайды және аккаунт құрмайды.</w:t>
            </w:r>
          </w:p>
        </w:tc>
        <w:tc>
          <w:tcPr>
            <w:tcW w:type="dxa" w:w="50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5</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Тіркелу және тексерілу</w:t>
              <w:br/>
              <w:t>MVP, security</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US-02</w:t>
            </w:r>
          </w:p>
        </w:tc>
        <w:tc>
          <w:tcPr>
            <w:tcW w:type="dxa" w:w="25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Профильді толтыру</w:t>
              <w:br/>
              <w:t>Пайдаланушы ретінде аты-жөнімді, рөлімді және байланыс тәсілін көрсеткім келеді.</w:t>
            </w:r>
          </w:p>
        </w:tc>
        <w:tc>
          <w:tcPr>
            <w:tcW w:type="dxa" w:w="345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Оң сценарий: Given verified аккаунт; When міндетті өрістерді толтырып сақтайды; Then профиль ашылады және нақты үй мекенжайы жарияланбайды.</w:t>
              <w:br/>
              <w:t>Теріс сценарий: Given профильдің міндетті өрісі бос; When пайдаланушы профильді сақтайды; Then жүйе қатені көрсетеді және профильді жарияламайды.</w:t>
            </w:r>
          </w:p>
        </w:tc>
        <w:tc>
          <w:tcPr>
            <w:tcW w:type="dxa" w:w="50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3</w:t>
            </w:r>
          </w:p>
        </w:tc>
        <w:tc>
          <w:tcPr>
            <w:tcW w:type="dxa" w:w="151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Тіркелу және тексерілу</w:t>
              <w:br/>
              <w:t>MVP, profile</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US-03</w:t>
            </w:r>
          </w:p>
        </w:tc>
        <w:tc>
          <w:tcPr>
            <w:tcW w:type="dxa" w:w="25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Бағыт пен күн бойынша іздеу</w:t>
              <w:br/>
              <w:t>Жолаушы ретінде бағыт пен күнді енгізіп, сәйкес сапарларды көргім келеді.</w:t>
            </w:r>
          </w:p>
        </w:tc>
        <w:tc>
          <w:tcPr>
            <w:tcW w:type="dxa" w:w="345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Оң сценарий: Given белсенді сапарлар бар; When бастапқы аудан, межелі орын және күнді таңдайды; Then сәйкес нәтижелер уақыт бойынша сұрыпталып көрсетіледі.</w:t>
              <w:br/>
              <w:t>Теріс сценарий: Given таңдалған параметрлер бойынша сапар жоқ; When пайдаланушы іздеу жасайды; Then жүйе бос нәтиже көрсетіп, сүзгілерді өзгертуді ұсынады.</w:t>
            </w:r>
          </w:p>
        </w:tc>
        <w:tc>
          <w:tcPr>
            <w:tcW w:type="dxa" w:w="50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5</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Сапарды іздеу</w:t>
              <w:br/>
              <w:t>MVP, search</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US-04</w:t>
            </w:r>
          </w:p>
        </w:tc>
        <w:tc>
          <w:tcPr>
            <w:tcW w:type="dxa" w:w="25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Сапар карточкасын көру</w:t>
              <w:br/>
              <w:t>Жолаушы ретінде шешім қабылдау үшін сапардың уақытын, бос орнын және жүргізуші профилін көргім келеді.</w:t>
            </w:r>
          </w:p>
        </w:tc>
        <w:tc>
          <w:tcPr>
            <w:tcW w:type="dxa" w:w="345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Оң сценарий: Given іздеу нәтижесі ашық; When карточканы таңдайды; Then уақыт, кездесу нүктесі, бос орын, болжамды үлес және verified мәртебесі көрсетіледі.</w:t>
              <w:br/>
              <w:t>Теріс сценарий: Given сапар жабық немесе бос орын жоқ; When пайдаланушы карточканы ашады; Then қосылу батырмасы қолжетімсіз болып, себебі көрсетіледі.</w:t>
            </w:r>
          </w:p>
        </w:tc>
        <w:tc>
          <w:tcPr>
            <w:tcW w:type="dxa" w:w="50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3</w:t>
            </w:r>
          </w:p>
        </w:tc>
        <w:tc>
          <w:tcPr>
            <w:tcW w:type="dxa" w:w="151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Сапарды іздеу</w:t>
              <w:br/>
              <w:t>MVP, search</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US-05</w:t>
            </w:r>
          </w:p>
        </w:tc>
        <w:tc>
          <w:tcPr>
            <w:tcW w:type="dxa" w:w="25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Жаңа сапар құру</w:t>
              <w:br/>
              <w:t>Жүргізуші ретінде маршрут, күн және уақыт көрсетіп сапар құрғым келеді.</w:t>
            </w:r>
          </w:p>
        </w:tc>
        <w:tc>
          <w:tcPr>
            <w:tcW w:type="dxa" w:w="345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Оң сценарий: Given verified жүргізуші; When барлық міндетті өрісті толтырады; Then сапар Draft ретінде сақталып, тексеруге көрсетіледі.</w:t>
              <w:br/>
              <w:t>Теріс сценарий: Given сапардың міндетті деректері толтырылмаған; When жүргізуші жариялауға әрекет жасайды; Then жүйе черновикті сақтап, қателерді көрсетеді.</w:t>
            </w:r>
          </w:p>
        </w:tc>
        <w:tc>
          <w:tcPr>
            <w:tcW w:type="dxa" w:w="50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5</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Сапар құру</w:t>
              <w:br/>
              <w:t>MVP, trip</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US-06</w:t>
            </w:r>
          </w:p>
        </w:tc>
        <w:tc>
          <w:tcPr>
            <w:tcW w:type="dxa" w:w="25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Орын санын белгілеу</w:t>
              <w:br/>
              <w:t>Жүргізуші ретінде бос орын санын көрсеткім келеді, сонда артық бронь болмайды.</w:t>
            </w:r>
          </w:p>
        </w:tc>
        <w:tc>
          <w:tcPr>
            <w:tcW w:type="dxa" w:w="345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Оң сценарий: Given сапар Draft күйінде; When 1–4 аралығындағы орын санын енгізеді; Then жүйе мәнді сақтайды, ал басқа мәндерді қате деп көрсетеді.</w:t>
              <w:br/>
              <w:t>Теріс сценарий: Given 1-ден аз немесе 4-тен көп орын енгізілген; When жүргізуші сапарды сақтайды; Then мән қабылданбай, рұқсат етілген диапазон көрсетіледі.</w:t>
            </w:r>
          </w:p>
        </w:tc>
        <w:tc>
          <w:tcPr>
            <w:tcW w:type="dxa" w:w="50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2</w:t>
            </w:r>
          </w:p>
        </w:tc>
        <w:tc>
          <w:tcPr>
            <w:tcW w:type="dxa" w:w="151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Сапар құру</w:t>
              <w:br/>
              <w:t>MVP, trip</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US-07</w:t>
            </w:r>
          </w:p>
        </w:tc>
        <w:tc>
          <w:tcPr>
            <w:tcW w:type="dxa" w:w="25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Шығын үлесін көрсету</w:t>
              <w:br/>
              <w:t>Жүргізуші ретінде бір жолаушыға болжамды шығын үлесін көрсеткім келеді.</w:t>
            </w:r>
          </w:p>
        </w:tc>
        <w:tc>
          <w:tcPr>
            <w:tcW w:type="dxa" w:w="345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Оң сценарий: Given сапар Draft күйінде; When 0–5000 теңге аралығындағы соманы енгізеді; Then сома карточкада болжамды үлес ретінде көрсетіледі.</w:t>
              <w:br/>
              <w:t>Теріс сценарий: Given сома 0-ден аз немесе 5000 теңгеден көп; When жүргізуші соманы сақтайды; Then жүйе мәнді қабылдамайды.</w:t>
            </w:r>
          </w:p>
        </w:tc>
        <w:tc>
          <w:tcPr>
            <w:tcW w:type="dxa" w:w="50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2</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Сапар құру</w:t>
              <w:br/>
              <w:t>MVP, cost</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US-08</w:t>
            </w:r>
          </w:p>
        </w:tc>
        <w:tc>
          <w:tcPr>
            <w:tcW w:type="dxa" w:w="25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Қосылу сұрауын жіберу</w:t>
              <w:br/>
              <w:t>Жолаушы ретінде бос орны бар сапарға қосылу сұрауын жібергім келеді.</w:t>
            </w:r>
          </w:p>
        </w:tc>
        <w:tc>
          <w:tcPr>
            <w:tcW w:type="dxa" w:w="345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Оң сценарий: Given verified жолаушы және бос орын бар; When Қосылу батырмасын басады; Then сұрау Pending күйінде жасалып, жүргізушіге хабарлама жіберіледі.</w:t>
              <w:br/>
              <w:t>Теріс сценарий: Given бос орын жоқ; When жолаушы сұрау жібереді; Then сұрау құрылмайды және орын жоқ екені көрсетіледі.</w:t>
            </w:r>
          </w:p>
        </w:tc>
        <w:tc>
          <w:tcPr>
            <w:tcW w:type="dxa" w:w="50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5</w:t>
            </w:r>
          </w:p>
        </w:tc>
        <w:tc>
          <w:tcPr>
            <w:tcW w:type="dxa" w:w="151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Сапарға қосылу</w:t>
              <w:br/>
              <w:t>MVP, booking</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US-09</w:t>
            </w:r>
          </w:p>
        </w:tc>
        <w:tc>
          <w:tcPr>
            <w:tcW w:type="dxa" w:w="25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Сұрауды қабылдау немесе қабылдамау</w:t>
              <w:br/>
              <w:t>Жүргізуші ретінде жолаушының сұрауын қабылдағым немесе қабылдамағым келеді.</w:t>
            </w:r>
          </w:p>
        </w:tc>
        <w:tc>
          <w:tcPr>
            <w:tcW w:type="dxa" w:w="345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Оң сценарий: Given Pending сұрау бар; When жүргізуші шешім таңдайды; Then мәртебе жаңарып, жолаушыға хабарлама кетеді; қабылданса бос орын 1-ге азаяды.</w:t>
              <w:br/>
              <w:t>Теріс сценарий: Given сұрау бұрын өңделген; When жүргізуші оны қайта қабылдайды немесе қабылдамайды; Then мәртебе мен орын саны өзгермейді.</w:t>
            </w:r>
          </w:p>
        </w:tc>
        <w:tc>
          <w:tcPr>
            <w:tcW w:type="dxa" w:w="50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5</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Сапарға қосылу</w:t>
              <w:br/>
              <w:t>MVP, booking</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US-10</w:t>
            </w:r>
          </w:p>
        </w:tc>
        <w:tc>
          <w:tcPr>
            <w:tcW w:type="dxa" w:w="25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Менің сапарларым</w:t>
              <w:br/>
              <w:t>Пайдаланушы ретінде алдағы және өткен сапарларымды бір жерден көргім келеді.</w:t>
            </w:r>
          </w:p>
        </w:tc>
        <w:tc>
          <w:tcPr>
            <w:tcW w:type="dxa" w:w="345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Оң сценарий: Given қолданушы жүйеге кірген; When Менің сапарларым бөлімін ашады; Then сапарлар Алдағы және Өткен топтарында көрсетіледі.</w:t>
              <w:br/>
              <w:t>Теріс сценарий: Given пайдаланушыда сапар жоқ; When ол бөлімді ашады; Then жүйе қатесіз бос күйді көрсетеді.</w:t>
            </w:r>
          </w:p>
        </w:tc>
        <w:tc>
          <w:tcPr>
            <w:tcW w:type="dxa" w:w="50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3</w:t>
            </w:r>
          </w:p>
        </w:tc>
        <w:tc>
          <w:tcPr>
            <w:tcW w:type="dxa" w:w="151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Сапарды басқару</w:t>
              <w:br/>
              <w:t>MVP, trip</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US-11</w:t>
            </w:r>
          </w:p>
        </w:tc>
        <w:tc>
          <w:tcPr>
            <w:tcW w:type="dxa" w:w="25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Сапардан бас тарту</w:t>
              <w:br/>
              <w:t>Қатысушы ретінде жоспар өзгерсе, сапардан бас тартқым келеді.</w:t>
            </w:r>
          </w:p>
        </w:tc>
        <w:tc>
          <w:tcPr>
            <w:tcW w:type="dxa" w:w="345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Оң сценарий: Given алдағы сапар бар; When Бас тарту әрекетін растайды; Then мәртебе жаңарып, басқа қатысушыларға 60 секунд ішінде хабарлама жіберіледі.</w:t>
              <w:br/>
              <w:t>Теріс сценарий: Given сапар аяқталған; When қатысушы бас тартуға әрекет жасайды; Then әрекет бұғатталып, мәртебе өзгермейді.</w:t>
            </w:r>
          </w:p>
        </w:tc>
        <w:tc>
          <w:tcPr>
            <w:tcW w:type="dxa" w:w="50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3</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Сапарды басқару</w:t>
              <w:br/>
              <w:t>MVP, cancellation</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US-12</w:t>
            </w:r>
          </w:p>
        </w:tc>
        <w:tc>
          <w:tcPr>
            <w:tcW w:type="dxa" w:w="25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Сапарды жабу</w:t>
              <w:br/>
              <w:t>Жүргізуші ретінде сапар аяқталғанын белгілегім келеді.</w:t>
            </w:r>
          </w:p>
        </w:tc>
        <w:tc>
          <w:tcPr>
            <w:tcW w:type="dxa" w:w="345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Оң сценарий: Given сапар уақыты өтіп кеткен; When жүргізуші Аяқталды деп белгілейді; Then сапар Completed күйіне ауысып, бағалау ашылады.</w:t>
              <w:br/>
              <w:t>Теріс сценарий: Given сапар уақыты әлі келмеген; When жүргізуші сапарды жабуға әрекет жасайды; Then жүйе әрекетті қабылдамайды.</w:t>
            </w:r>
          </w:p>
        </w:tc>
        <w:tc>
          <w:tcPr>
            <w:tcW w:type="dxa" w:w="50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2</w:t>
            </w:r>
          </w:p>
        </w:tc>
        <w:tc>
          <w:tcPr>
            <w:tcW w:type="dxa" w:w="151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Сапарды басқару</w:t>
              <w:br/>
              <w:t>MVP, trip</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US-13</w:t>
            </w:r>
          </w:p>
        </w:tc>
        <w:tc>
          <w:tcPr>
            <w:tcW w:type="dxa" w:w="25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Қатысушыны бағалау</w:t>
              <w:br/>
              <w:t>Пайдаланушы ретінде сапардан кейін басқа қатысушыға 1–5 баға бергім келеді.</w:t>
            </w:r>
          </w:p>
        </w:tc>
        <w:tc>
          <w:tcPr>
            <w:tcW w:type="dxa" w:w="345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Оң сценарий: Given Completed сапар; When 1–5 баға мен міндетті емес пікір жібереді; Then бір сапарға бір баға сақталып, орташа рейтинг қайта есептеледі.</w:t>
              <w:br/>
              <w:t>Теріс сценарий: Given пайдаланушы осы сапардағы қатысушыны бағалап қойған; When екінші бағаны жібереді; Then қайталанған баға сақталмайды.</w:t>
            </w:r>
          </w:p>
        </w:tc>
        <w:tc>
          <w:tcPr>
            <w:tcW w:type="dxa" w:w="50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3</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Сенім және қауіпсіздік</w:t>
              <w:br/>
              <w:t>trust, rating</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Release 2</w:t>
            </w:r>
          </w:p>
        </w:tc>
      </w:tr>
      <w:tr>
        <w:trPr>
          <w:cantSplit/>
        </w:trPr>
        <w:tc>
          <w:tcPr>
            <w:tcW w:type="dxa" w:w="64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US-14</w:t>
            </w:r>
          </w:p>
        </w:tc>
        <w:tc>
          <w:tcPr>
            <w:tcW w:type="dxa" w:w="25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Шағым жіберу</w:t>
              <w:br/>
              <w:t>Пайдаланушы ретінде ереже бұзылғанда шағым жібергім келеді.</w:t>
            </w:r>
          </w:p>
        </w:tc>
        <w:tc>
          <w:tcPr>
            <w:tcW w:type="dxa" w:w="345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Оң сценарий: Given пайдаланушы сапар қатысушысы; When санат, сипаттама және қажет болса дәлел қосады; Then шағым ID алып, New күйінде модераторға түседі.</w:t>
              <w:br/>
              <w:t>Теріс сценарий: Given міндетті санат немесе сипаттама жоқ; When пайдаланушы шағым жібереді; Then шағым құрылмай, толтырылмаған өрістер көрсетіледі.</w:t>
            </w:r>
          </w:p>
        </w:tc>
        <w:tc>
          <w:tcPr>
            <w:tcW w:type="dxa" w:w="50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5</w:t>
            </w:r>
          </w:p>
        </w:tc>
        <w:tc>
          <w:tcPr>
            <w:tcW w:type="dxa" w:w="151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Сенім және қауіпсіздік</w:t>
              <w:br/>
              <w:t>safety, complaint</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Release 2</w:t>
            </w:r>
          </w:p>
        </w:tc>
      </w:tr>
      <w:tr>
        <w:trPr>
          <w:cantSplit/>
        </w:trPr>
        <w:tc>
          <w:tcPr>
            <w:tcW w:type="dxa" w:w="64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US-15</w:t>
            </w:r>
          </w:p>
        </w:tc>
        <w:tc>
          <w:tcPr>
            <w:tcW w:type="dxa" w:w="25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Пайдаланушыны бұғаттау</w:t>
              <w:br/>
              <w:t>Пайдаланушы ретінде белгілі бір адамнан сұрау алмау үшін оны бұғаттағым келеді.</w:t>
            </w:r>
          </w:p>
        </w:tc>
        <w:tc>
          <w:tcPr>
            <w:tcW w:type="dxa" w:w="345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Оң сценарий: Given басқа пайдаланушы профилі ашық; When Бұғаттау әрекетін растайды; Then екі тарап бір-бірінің сапарларына қосыла алмайды.</w:t>
              <w:br/>
              <w:t>Теріс сценарий: Given пайдаланушы бұрын бұғатталған; When бұғаттау қайта жіберіледі; Then қайталанған жазба құрылмайды.</w:t>
            </w:r>
          </w:p>
        </w:tc>
        <w:tc>
          <w:tcPr>
            <w:tcW w:type="dxa" w:w="50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3</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Сенім және қауіпсіздік</w:t>
              <w:br/>
              <w:t>safety, block</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Release 2</w:t>
            </w:r>
          </w:p>
        </w:tc>
      </w:tr>
      <w:tr>
        <w:trPr>
          <w:cantSplit/>
        </w:trPr>
        <w:tc>
          <w:tcPr>
            <w:tcW w:type="dxa" w:w="64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US-16</w:t>
            </w:r>
          </w:p>
        </w:tc>
        <w:tc>
          <w:tcPr>
            <w:tcW w:type="dxa" w:w="25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Шағымды өңдеу</w:t>
              <w:br/>
              <w:t>Модератор ретінде шағымды қарап, шешім мен себепті тіркегім келеді.</w:t>
            </w:r>
          </w:p>
        </w:tc>
        <w:tc>
          <w:tcPr>
            <w:tcW w:type="dxa" w:w="345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Оң сценарий: Given New шағым бар; When модератор шешім мен түсіндірмені сақтайды; Then мәртебе Closed болады және аудит журналында жазба пайда болады.</w:t>
              <w:br/>
              <w:t>Теріс сценарий: Given пайдаланушының рөлі модератор емес; When ол шағымды жабуға әрекет жасайды; Then жүйе 403 қайтарады және шағымды өзгертпейді.</w:t>
            </w:r>
          </w:p>
        </w:tc>
        <w:tc>
          <w:tcPr>
            <w:tcW w:type="dxa" w:w="50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5</w:t>
            </w:r>
          </w:p>
        </w:tc>
        <w:tc>
          <w:tcPr>
            <w:tcW w:type="dxa" w:w="151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Модерация</w:t>
              <w:br/>
              <w:t>admin, complaint</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Release 2</w:t>
            </w:r>
          </w:p>
        </w:tc>
      </w:tr>
      <w:tr>
        <w:trPr>
          <w:cantSplit/>
        </w:trPr>
        <w:tc>
          <w:tcPr>
            <w:tcW w:type="dxa" w:w="64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US-17</w:t>
            </w:r>
          </w:p>
        </w:tc>
        <w:tc>
          <w:tcPr>
            <w:tcW w:type="dxa" w:w="2520"/>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Мәртебе өзгерісі туралы хабарлама</w:t>
              <w:br/>
              <w:t>Пайдаланушы ретінде қосылу, бас тарту және уақыт өзгерісі туралы хабарлама алғым келеді.</w:t>
            </w:r>
          </w:p>
        </w:tc>
        <w:tc>
          <w:tcPr>
            <w:tcW w:type="dxa" w:w="3456"/>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Оң сценарий: Given оқиға жасалды; When мәртебе өзгереді; Then қолданушыға 60 секунд ішінде хабарлама жіберіліп, жеткізу нәтижесі журналға жазылады.</w:t>
              <w:br/>
              <w:t>Теріс сценарий: Given хабарлама сервисі уақытша қолжетімсіз; When мәртебе өзгереді; Then үш қайта жіберу орындалып, ақау журналға жазылады.</w:t>
            </w:r>
          </w:p>
        </w:tc>
        <w:tc>
          <w:tcPr>
            <w:tcW w:type="dxa" w:w="50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5</w:t>
            </w:r>
          </w:p>
        </w:tc>
        <w:tc>
          <w:tcPr>
            <w:tcW w:type="dxa" w:w="151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4"/>
              </w:rPr>
              <w:t>Хабарламалар</w:t>
              <w:br/>
              <w:t>MVP, notification</w:t>
            </w:r>
          </w:p>
        </w:tc>
        <w:tc>
          <w:tcPr>
            <w:tcW w:type="dxa" w:w="936"/>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4"/>
              </w:rPr>
              <w:t>MVP</w:t>
            </w:r>
          </w:p>
        </w:tc>
      </w:tr>
      <w:tr>
        <w:trPr>
          <w:cantSplit/>
        </w:trPr>
        <w:tc>
          <w:tcPr>
            <w:tcW w:type="dxa" w:w="64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US-18</w:t>
            </w:r>
          </w:p>
        </w:tc>
        <w:tc>
          <w:tcPr>
            <w:tcW w:type="dxa" w:w="2520"/>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Қазақша орысша және ағылшынша интерфейс</w:t>
              <w:br/>
              <w:t>Пайдаланушы ретінде интерфейс тілін қазақша, орысша немесе ағылшынша таңдағым келеді.</w:t>
            </w:r>
          </w:p>
        </w:tc>
        <w:tc>
          <w:tcPr>
            <w:tcW w:type="dxa" w:w="3456"/>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Оң сценарий: Given жүйе ашық; When тіл ауыстырылады; Then MVP экрандарындағы барлық мәтін таңдалған тілде көрсетіліп, таңдау келесі сессияда сақталады.</w:t>
              <w:br/>
              <w:t>Теріс сценарий: Given таңдалған тіл үшін аударма кілті жоқ; When экран ашылады; Then локализация тексеруі бос жол қалдырмай қателікпен аяқталады.</w:t>
            </w:r>
          </w:p>
        </w:tc>
        <w:tc>
          <w:tcPr>
            <w:tcW w:type="dxa" w:w="50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5</w:t>
            </w:r>
          </w:p>
        </w:tc>
        <w:tc>
          <w:tcPr>
            <w:tcW w:type="dxa" w:w="151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4"/>
              </w:rPr>
              <w:t>Локализация</w:t>
              <w:br/>
              <w:t>i18n, accessibility</w:t>
            </w:r>
          </w:p>
        </w:tc>
        <w:tc>
          <w:tcPr>
            <w:tcW w:type="dxa" w:w="936"/>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4"/>
              </w:rPr>
              <w:t>Release 3</w:t>
            </w:r>
          </w:p>
        </w:tc>
      </w:tr>
    </w:tbl>
    <w:p>
      <w:pPr>
        <w:spacing w:after="40"/>
      </w:pPr>
    </w:p>
    <w:p>
      <w:pPr>
        <w:keepLines/>
        <w:spacing w:after="140" w:line="269" w:lineRule="auto"/>
        <w:jc w:val="both"/>
      </w:pPr>
      <w:r>
        <w:rPr>
          <w:rFonts w:ascii="Segoe UI" w:hAnsi="Segoe UI" w:eastAsia="Segoe UI"/>
          <w:b w:val="0"/>
          <w:i w:val="0"/>
          <w:color w:val="232323"/>
          <w:sz w:val="21"/>
        </w:rPr>
        <w:t>Трекерге импорттауға арналған CSV файлында 18 тарихтың барлық өрісі сақталған. Модельдік интервью қорытындысы бойынша US-17 Release 2-ден MVP-ге ауыстырылды; MVP құрамына US-01–US-12 және US-17 кіреді. Story point мәндері командалық бағалау ретінде допущение болып саналады және planning poker кезінде қайта келісіледі.</w:t>
      </w:r>
    </w:p>
    <w:p>
      <w:pPr>
        <w:keepNext/>
        <w:spacing w:before="180" w:after="100"/>
      </w:pPr>
      <w:r>
        <w:rPr>
          <w:rFonts w:ascii="Segoe UI" w:hAnsi="Segoe UI" w:eastAsia="Segoe UI"/>
          <w:b/>
          <w:i w:val="0"/>
          <w:color w:val="232323"/>
          <w:sz w:val="24"/>
        </w:rPr>
        <w:t>INVEST тексеруі</w:t>
      </w:r>
    </w:p>
    <w:p>
      <w:pPr>
        <w:keepLines/>
        <w:spacing w:after="140" w:line="269" w:lineRule="auto"/>
        <w:jc w:val="both"/>
      </w:pPr>
      <w:r>
        <w:rPr>
          <w:rFonts w:ascii="Segoe UI" w:hAnsi="Segoe UI" w:eastAsia="Segoe UI"/>
          <w:b w:val="0"/>
          <w:i w:val="0"/>
          <w:color w:val="232323"/>
          <w:sz w:val="21"/>
        </w:rPr>
        <w:t>Барлық тарих Independent, Negotiable, Valuable, Estimable, Small және Testable өлшемдері бойынша тексерілді. Ең үлкен бағалау 5 SP; L өлшемді тарих жоқ, сондықтан жұмысқа алынбайтын ірі тарих қалмады.</w:t>
      </w:r>
    </w:p>
    <w:tbl>
      <w:tblPr>
        <w:tblW w:type="auto" w:w="0"/>
        <w:jc w:val="center"/>
        <w:tblLayout w:type="fixed"/>
        <w:tblLook w:firstColumn="1" w:firstRow="1" w:lastColumn="0" w:lastRow="0" w:noHBand="0" w:noVBand="1" w:val="04A0"/>
        <w:tblBorders>
          <w:top w:val="single" w:sz="5" w:color="9DCBE8"/>
          <w:left w:val="single" w:sz="5" w:color="9DCBE8"/>
          <w:bottom w:val="single" w:sz="5" w:color="9DCBE8"/>
          <w:right w:val="single" w:sz="5" w:color="9DCBE8"/>
          <w:insideH w:val="single" w:sz="5" w:color="9DCBE8"/>
          <w:insideV w:val="single" w:sz="5" w:color="9DCBE8"/>
        </w:tblBorders>
      </w:tblPr>
      <w:tblGrid>
        <w:gridCol w:w="1364"/>
        <w:gridCol w:w="1364"/>
        <w:gridCol w:w="1364"/>
        <w:gridCol w:w="1364"/>
        <w:gridCol w:w="1364"/>
        <w:gridCol w:w="1364"/>
        <w:gridCol w:w="1364"/>
      </w:tblGrid>
      <w:tr>
        <w:trPr>
          <w:tblHeader/>
          <w:cantSplit/>
        </w:trPr>
        <w:tc>
          <w:tcPr>
            <w:tcW w:type="dxa" w:w="1080"/>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6"/>
              </w:rPr>
              <w:t>ID</w:t>
            </w:r>
          </w:p>
        </w:tc>
        <w:tc>
          <w:tcPr>
            <w:tcW w:type="dxa" w:w="100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6"/>
              </w:rPr>
              <w:t>I</w:t>
            </w:r>
          </w:p>
        </w:tc>
        <w:tc>
          <w:tcPr>
            <w:tcW w:type="dxa" w:w="100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6"/>
              </w:rPr>
              <w:t>N</w:t>
            </w:r>
          </w:p>
        </w:tc>
        <w:tc>
          <w:tcPr>
            <w:tcW w:type="dxa" w:w="100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6"/>
              </w:rPr>
              <w:t>V</w:t>
            </w:r>
          </w:p>
        </w:tc>
        <w:tc>
          <w:tcPr>
            <w:tcW w:type="dxa" w:w="100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6"/>
              </w:rPr>
              <w:t>E</w:t>
            </w:r>
          </w:p>
        </w:tc>
        <w:tc>
          <w:tcPr>
            <w:tcW w:type="dxa" w:w="1584"/>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6"/>
              </w:rPr>
              <w:t>S</w:t>
            </w:r>
          </w:p>
        </w:tc>
        <w:tc>
          <w:tcPr>
            <w:tcW w:type="dxa" w:w="100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6"/>
              </w:rPr>
              <w:t>T</w:t>
            </w:r>
          </w:p>
        </w:tc>
      </w:tr>
      <w:tr>
        <w:trPr>
          <w:cantSplit/>
        </w:trPr>
        <w:tc>
          <w:tcPr>
            <w:tcW w:type="dxa" w:w="108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US-01</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 5 SP</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US-02</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 3 SP</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US-03</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 5 SP</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US-04</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 3 SP</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US-05</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 5 SP</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US-06</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 2 SP</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US-07</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 2 SP</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US-08</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 5 SP</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US-09</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 5 SP</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US-10</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 3 SP</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US-11</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 3 SP</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US-12</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 2 SP</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US-13</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 3 SP</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US-14</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 5 SP</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US-15</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 3 SP</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US-16</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 5 SP</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US-17</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 5 SP</w:t>
            </w:r>
          </w:p>
        </w:tc>
        <w:tc>
          <w:tcPr>
            <w:tcW w:type="dxa" w:w="1008"/>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6"/>
              </w:rPr>
              <w:t>Иә</w:t>
            </w:r>
          </w:p>
        </w:tc>
      </w:tr>
      <w:tr>
        <w:trPr>
          <w:cantSplit/>
        </w:trPr>
        <w:tc>
          <w:tcPr>
            <w:tcW w:type="dxa" w:w="108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US-18</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c>
          <w:tcPr>
            <w:tcW w:type="dxa" w:w="1584"/>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 5 SP</w:t>
            </w:r>
          </w:p>
        </w:tc>
        <w:tc>
          <w:tcPr>
            <w:tcW w:type="dxa" w:w="1008"/>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6"/>
              </w:rPr>
              <w:t>Иә</w:t>
            </w:r>
          </w:p>
        </w:tc>
      </w:tr>
    </w:tbl>
    <w:p>
      <w:pPr>
        <w:spacing w:after="40"/>
      </w:pPr>
    </w:p>
    <w:p>
      <w:r>
        <w:br w:type="page"/>
      </w:r>
    </w:p>
    <w:p>
      <w:pPr>
        <w:keepNext/>
        <w:spacing w:before="280" w:after="100"/>
      </w:pPr>
      <w:r>
        <w:rPr>
          <w:rFonts w:ascii="Segoe UI" w:hAnsi="Segoe UI" w:eastAsia="Segoe UI"/>
          <w:b/>
          <w:i w:val="0"/>
          <w:color w:val="232323"/>
          <w:sz w:val="32"/>
        </w:rPr>
        <w:t>Часть 3 Спецификация нефункциональных требований</w:t>
      </w:r>
    </w:p>
    <w:p>
      <w:pPr>
        <w:keepLines/>
        <w:spacing w:after="140" w:line="269" w:lineRule="auto"/>
        <w:jc w:val="both"/>
      </w:pPr>
      <w:r>
        <w:rPr>
          <w:rFonts w:ascii="Segoe UI" w:hAnsi="Segoe UI" w:eastAsia="Segoe UI"/>
          <w:b w:val="0"/>
          <w:i w:val="0"/>
          <w:color w:val="232323"/>
          <w:sz w:val="21"/>
        </w:rPr>
        <w:t>Эта часть выбрана как наиболее простая для отдельной защиты: результат оформляется одним структурированным документом, а каждое требование проверяется числом и заранее указанным методом. Числовые пороги являются проектными допущениями для учебного прототипа и подлежат согласованию с заказчиком перед пилотом.</w:t>
      </w:r>
    </w:p>
    <w:tbl>
      <w:tblPr>
        <w:tblW w:type="auto" w:w="0"/>
        <w:jc w:val="center"/>
        <w:tblLayout w:type="fixed"/>
        <w:tblLook w:firstColumn="1" w:firstRow="1" w:lastColumn="0" w:lastRow="0" w:noHBand="0" w:noVBand="1" w:val="04A0"/>
        <w:tblBorders>
          <w:top w:val="single" w:sz="5" w:color="9DCBE8"/>
          <w:left w:val="single" w:sz="5" w:color="9DCBE8"/>
          <w:bottom w:val="single" w:sz="5" w:color="9DCBE8"/>
          <w:right w:val="single" w:sz="5" w:color="9DCBE8"/>
          <w:insideH w:val="single" w:sz="5" w:color="9DCBE8"/>
          <w:insideV w:val="single" w:sz="5" w:color="9DCBE8"/>
        </w:tblBorders>
      </w:tblPr>
      <w:tblGrid>
        <w:gridCol w:w="2387"/>
        <w:gridCol w:w="2387"/>
        <w:gridCol w:w="2387"/>
        <w:gridCol w:w="2387"/>
      </w:tblGrid>
      <w:tr>
        <w:trPr>
          <w:tblHeader/>
          <w:cantSplit/>
        </w:trPr>
        <w:tc>
          <w:tcPr>
            <w:tcW w:type="dxa" w:w="720"/>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ID</w:t>
            </w:r>
          </w:p>
        </w:tc>
        <w:tc>
          <w:tcPr>
            <w:tcW w:type="dxa" w:w="1584"/>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Категория</w:t>
            </w:r>
          </w:p>
        </w:tc>
        <w:tc>
          <w:tcPr>
            <w:tcW w:type="dxa" w:w="460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Измеримое требование</w:t>
            </w:r>
          </w:p>
        </w:tc>
        <w:tc>
          <w:tcPr>
            <w:tcW w:type="dxa" w:w="244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5"/>
              </w:rPr>
              <w:t>Метод проверки</w:t>
            </w:r>
          </w:p>
        </w:tc>
      </w:tr>
      <w:tr>
        <w:trPr>
          <w:cantSplit/>
        </w:trPr>
        <w:tc>
          <w:tcPr>
            <w:tcW w:type="dxa" w:w="72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NFR-01</w:t>
            </w:r>
          </w:p>
        </w:tc>
        <w:tc>
          <w:tcPr>
            <w:tcW w:type="dxa" w:w="158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Производительность</w:t>
            </w:r>
          </w:p>
        </w:tc>
        <w:tc>
          <w:tcPr>
            <w:tcW w:type="dxa" w:w="460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При 200 одновременных пользователях поиск поездок должен отвечать с p95 не более 800 мс и долей ошибок не более 1% в течение 15-минутного теста.</w:t>
            </w:r>
          </w:p>
        </w:tc>
        <w:tc>
          <w:tcPr>
            <w:tcW w:type="dxa" w:w="244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k6/Locust, 200 VU, 15 минут; отчет p95 и error rate.</w:t>
            </w:r>
          </w:p>
        </w:tc>
      </w:tr>
      <w:tr>
        <w:trPr>
          <w:cantSplit/>
        </w:trPr>
        <w:tc>
          <w:tcPr>
            <w:tcW w:type="dxa" w:w="72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NFR-02</w:t>
            </w:r>
          </w:p>
        </w:tc>
        <w:tc>
          <w:tcPr>
            <w:tcW w:type="dxa" w:w="158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Доступность</w:t>
            </w:r>
          </w:p>
        </w:tc>
        <w:tc>
          <w:tcPr>
            <w:tcW w:type="dxa" w:w="460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Месячная доступность пользовательского сервиса должна быть не ниже 99,5%, без учета согласованных работ продолжительностью до 2 часов при уведомлении за 48 часов.</w:t>
            </w:r>
          </w:p>
        </w:tc>
        <w:tc>
          <w:tcPr>
            <w:tcW w:type="dxa" w:w="244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Uptime Kuma; месячный отчет доступности и журнал работ.</w:t>
            </w:r>
          </w:p>
        </w:tc>
      </w:tr>
      <w:tr>
        <w:trPr>
          <w:cantSplit/>
        </w:trPr>
        <w:tc>
          <w:tcPr>
            <w:tcW w:type="dxa" w:w="72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NFR-03</w:t>
            </w:r>
          </w:p>
        </w:tc>
        <w:tc>
          <w:tcPr>
            <w:tcW w:type="dxa" w:w="158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Масштабируемость</w:t>
            </w:r>
          </w:p>
        </w:tc>
        <w:tc>
          <w:tcPr>
            <w:tcW w:type="dxa" w:w="460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При 1000 зарегистрированных и 300 одновременно активных пользователях p95 основных API не должен превышать 1,2 секунды.</w:t>
            </w:r>
          </w:p>
        </w:tc>
        <w:tc>
          <w:tcPr>
            <w:tcW w:type="dxa" w:w="244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Нагрузочный сценарий с 300 активными пользователями.</w:t>
            </w:r>
          </w:p>
        </w:tc>
      </w:tr>
      <w:tr>
        <w:trPr>
          <w:cantSplit/>
        </w:trPr>
        <w:tc>
          <w:tcPr>
            <w:tcW w:type="dxa" w:w="72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NFR-04</w:t>
            </w:r>
          </w:p>
        </w:tc>
        <w:tc>
          <w:tcPr>
            <w:tcW w:type="dxa" w:w="158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Защита канала</w:t>
            </w:r>
          </w:p>
        </w:tc>
        <w:tc>
          <w:tcPr>
            <w:tcW w:type="dxa" w:w="460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Все внешние соединения должны использовать HTTPS с TLS 1.2 или выше; HTTP-запросы должны перенаправляться на HTTPS.</w:t>
            </w:r>
          </w:p>
        </w:tc>
        <w:tc>
          <w:tcPr>
            <w:tcW w:type="dxa" w:w="244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SSL Labs/openssl и проверка HTTP 301/308.</w:t>
            </w:r>
          </w:p>
        </w:tc>
      </w:tr>
      <w:tr>
        <w:trPr>
          <w:cantSplit/>
        </w:trPr>
        <w:tc>
          <w:tcPr>
            <w:tcW w:type="dxa" w:w="72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NFR-05</w:t>
            </w:r>
          </w:p>
        </w:tc>
        <w:tc>
          <w:tcPr>
            <w:tcW w:type="dxa" w:w="158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Аутентификация</w:t>
            </w:r>
          </w:p>
        </w:tc>
        <w:tc>
          <w:tcPr>
            <w:tcW w:type="dxa" w:w="460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Сессия должна завершаться после 30 минут бездействия и требовать повторной аутентификации не позднее чем через 12 часов после входа.</w:t>
            </w:r>
          </w:p>
        </w:tc>
        <w:tc>
          <w:tcPr>
            <w:tcW w:type="dxa" w:w="244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Автотест тайм-аутов с тестовыми часами.</w:t>
            </w:r>
          </w:p>
        </w:tc>
      </w:tr>
      <w:tr>
        <w:trPr>
          <w:cantSplit/>
        </w:trPr>
        <w:tc>
          <w:tcPr>
            <w:tcW w:type="dxa" w:w="72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NFR-06</w:t>
            </w:r>
          </w:p>
        </w:tc>
        <w:tc>
          <w:tcPr>
            <w:tcW w:type="dxa" w:w="158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Контроль доступа</w:t>
            </w:r>
          </w:p>
        </w:tc>
        <w:tc>
          <w:tcPr>
            <w:tcW w:type="dxa" w:w="460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100% защищенных API должны возвращать 401 без аутентификации и 403 при недостаточной роли; модераторские операции недоступны обычному пользователю.</w:t>
            </w:r>
          </w:p>
        </w:tc>
        <w:tc>
          <w:tcPr>
            <w:tcW w:type="dxa" w:w="244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Негативные API-тесты для всех защищенных маршрутов.</w:t>
            </w:r>
          </w:p>
        </w:tc>
      </w:tr>
      <w:tr>
        <w:trPr>
          <w:cantSplit/>
        </w:trPr>
        <w:tc>
          <w:tcPr>
            <w:tcW w:type="dxa" w:w="72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NFR-07</w:t>
            </w:r>
          </w:p>
        </w:tc>
        <w:tc>
          <w:tcPr>
            <w:tcW w:type="dxa" w:w="158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Минимизация данных</w:t>
            </w:r>
          </w:p>
        </w:tc>
        <w:tc>
          <w:tcPr>
            <w:tcW w:type="dxa" w:w="460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Публичная карточка поездки не должна показывать точный домашний адрес, номер документа или личную почту; допускаются район и согласованная общественная точка встречи.</w:t>
            </w:r>
          </w:p>
        </w:tc>
        <w:tc>
          <w:tcPr>
            <w:tcW w:type="dxa" w:w="244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Ручная проверка и автотест JSON-схем публичных ответов.</w:t>
            </w:r>
          </w:p>
        </w:tc>
      </w:tr>
      <w:tr>
        <w:trPr>
          <w:cantSplit/>
        </w:trPr>
        <w:tc>
          <w:tcPr>
            <w:tcW w:type="dxa" w:w="72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NFR-08</w:t>
            </w:r>
          </w:p>
        </w:tc>
        <w:tc>
          <w:tcPr>
            <w:tcW w:type="dxa" w:w="158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Хранение данных</w:t>
            </w:r>
          </w:p>
        </w:tc>
        <w:tc>
          <w:tcPr>
            <w:tcW w:type="dxa" w:w="460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Технические журналы должны храниться 90 дней, закрытые жалобы 12 месяцев; подтвержденный запрос на удаление профиля выполняется не более чем за 30 календарных дней.</w:t>
            </w:r>
          </w:p>
        </w:tc>
        <w:tc>
          <w:tcPr>
            <w:tcW w:type="dxa" w:w="244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Проверка политик БД и тест удаления с журналом выполнения.</w:t>
            </w:r>
          </w:p>
        </w:tc>
      </w:tr>
      <w:tr>
        <w:trPr>
          <w:cantSplit/>
        </w:trPr>
        <w:tc>
          <w:tcPr>
            <w:tcW w:type="dxa" w:w="72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NFR-09</w:t>
            </w:r>
          </w:p>
        </w:tc>
        <w:tc>
          <w:tcPr>
            <w:tcW w:type="dxa" w:w="158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Резервное копирование</w:t>
            </w:r>
          </w:p>
        </w:tc>
        <w:tc>
          <w:tcPr>
            <w:tcW w:type="dxa" w:w="460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Резервная копия базы создается не реже одного раза в 24 часа; целевые показатели RPO не более 24 часов и RTO не более 4 часов.</w:t>
            </w:r>
          </w:p>
        </w:tc>
        <w:tc>
          <w:tcPr>
            <w:tcW w:type="dxa" w:w="244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Ежеквартальный тест восстановления с фиксацией времени и потери данных.</w:t>
            </w:r>
          </w:p>
        </w:tc>
      </w:tr>
      <w:tr>
        <w:trPr>
          <w:cantSplit/>
        </w:trPr>
        <w:tc>
          <w:tcPr>
            <w:tcW w:type="dxa" w:w="72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NFR-10</w:t>
            </w:r>
          </w:p>
        </w:tc>
        <w:tc>
          <w:tcPr>
            <w:tcW w:type="dxa" w:w="158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Аудит</w:t>
            </w:r>
          </w:p>
        </w:tc>
        <w:tc>
          <w:tcPr>
            <w:tcW w:type="dxa" w:w="460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100% событий входа, создания поездки, принятия пассажира, отмены, жалобы и блокировки должны записываться с user ID, временем UTC, действием и результатом без паролей и токенов.</w:t>
            </w:r>
          </w:p>
        </w:tc>
        <w:tc>
          <w:tcPr>
            <w:tcW w:type="dxa" w:w="244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Автотест событий и выборочная проверка журнала.</w:t>
            </w:r>
          </w:p>
        </w:tc>
      </w:tr>
      <w:tr>
        <w:trPr>
          <w:cantSplit/>
        </w:trPr>
        <w:tc>
          <w:tcPr>
            <w:tcW w:type="dxa" w:w="72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NFR-11</w:t>
            </w:r>
          </w:p>
        </w:tc>
        <w:tc>
          <w:tcPr>
            <w:tcW w:type="dxa" w:w="158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Локализация</w:t>
            </w:r>
          </w:p>
        </w:tc>
        <w:tc>
          <w:tcPr>
            <w:tcW w:type="dxa" w:w="460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100% пользовательских строк MVP должны быть доступны на казахском, русском и английском языках; сборка должна завершаться ошибкой при отсутствующем ключе перевода.</w:t>
            </w:r>
          </w:p>
        </w:tc>
        <w:tc>
          <w:tcPr>
            <w:tcW w:type="dxa" w:w="244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Автопроверка ключей и ручной обход MVP-экранов на kk, ru и en.</w:t>
            </w:r>
          </w:p>
        </w:tc>
      </w:tr>
      <w:tr>
        <w:trPr>
          <w:cantSplit/>
        </w:trPr>
        <w:tc>
          <w:tcPr>
            <w:tcW w:type="dxa" w:w="72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NFR-12</w:t>
            </w:r>
          </w:p>
        </w:tc>
        <w:tc>
          <w:tcPr>
            <w:tcW w:type="dxa" w:w="158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Совместимость</w:t>
            </w:r>
          </w:p>
        </w:tc>
        <w:tc>
          <w:tcPr>
            <w:tcW w:type="dxa" w:w="460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Веб-интерфейс должен поддерживать две последние стабильные версии Chrome, Edge и Firefox, а также экраны шириной 360–1440 px без горизонтальной прокрутки основных форм.</w:t>
            </w:r>
          </w:p>
        </w:tc>
        <w:tc>
          <w:tcPr>
            <w:tcW w:type="dxa" w:w="244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Playwright matrix + визуальная проверка контрольных разрешений.</w:t>
            </w:r>
          </w:p>
        </w:tc>
      </w:tr>
      <w:tr>
        <w:trPr>
          <w:cantSplit/>
        </w:trPr>
        <w:tc>
          <w:tcPr>
            <w:tcW w:type="dxa" w:w="72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NFR-13</w:t>
            </w:r>
          </w:p>
        </w:tc>
        <w:tc>
          <w:tcPr>
            <w:tcW w:type="dxa" w:w="158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Доступность интерфейса</w:t>
            </w:r>
          </w:p>
        </w:tc>
        <w:tc>
          <w:tcPr>
            <w:tcW w:type="dxa" w:w="460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Основные сценарии должны выполняться только с клавиатуры; контраст обычного текста должен быть не ниже 4,5:1.</w:t>
            </w:r>
          </w:p>
        </w:tc>
        <w:tc>
          <w:tcPr>
            <w:tcW w:type="dxa" w:w="244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axe-core, Lighthouse и ручной keyboard-only тест.</w:t>
            </w:r>
          </w:p>
        </w:tc>
      </w:tr>
      <w:tr>
        <w:trPr>
          <w:cantSplit/>
        </w:trPr>
        <w:tc>
          <w:tcPr>
            <w:tcW w:type="dxa" w:w="72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NFR-14</w:t>
            </w:r>
          </w:p>
        </w:tc>
        <w:tc>
          <w:tcPr>
            <w:tcW w:type="dxa" w:w="158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Надежность уведомлений</w:t>
            </w:r>
          </w:p>
        </w:tc>
        <w:tc>
          <w:tcPr>
            <w:tcW w:type="dxa" w:w="460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Не менее 95% уведомлений об отмене и изменении статуса должны доставляться или отображаться в приложении в течение 60 секунд; при сбое выполняются 3 повторные попытки.</w:t>
            </w:r>
          </w:p>
        </w:tc>
        <w:tc>
          <w:tcPr>
            <w:tcW w:type="dxa" w:w="244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Интеграционный тест с контролируемыми сбоями и отчетом доставки.</w:t>
            </w:r>
          </w:p>
        </w:tc>
      </w:tr>
      <w:tr>
        <w:trPr>
          <w:cantSplit/>
        </w:trPr>
        <w:tc>
          <w:tcPr>
            <w:tcW w:type="dxa" w:w="72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NFR-15</w:t>
            </w:r>
          </w:p>
        </w:tc>
        <w:tc>
          <w:tcPr>
            <w:tcW w:type="dxa" w:w="158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Целостность</w:t>
            </w:r>
          </w:p>
        </w:tc>
        <w:tc>
          <w:tcPr>
            <w:tcW w:type="dxa" w:w="460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Система не должна подтверждать число пассажиров выше количества свободных мест; два одинаковых запроса на присоединение должны создавать не более одной записи.</w:t>
            </w:r>
          </w:p>
        </w:tc>
        <w:tc>
          <w:tcPr>
            <w:tcW w:type="dxa" w:w="244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Параллельный тест 20 запросов и проверка идемпотентности.</w:t>
            </w:r>
          </w:p>
        </w:tc>
      </w:tr>
      <w:tr>
        <w:trPr>
          <w:cantSplit/>
        </w:trPr>
        <w:tc>
          <w:tcPr>
            <w:tcW w:type="dxa" w:w="72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NFR-16</w:t>
            </w:r>
          </w:p>
        </w:tc>
        <w:tc>
          <w:tcPr>
            <w:tcW w:type="dxa" w:w="158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Сопровождаемость</w:t>
            </w:r>
          </w:p>
        </w:tc>
        <w:tc>
          <w:tcPr>
            <w:tcW w:type="dxa" w:w="460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CI должен выполнять линтер, тесты и сборку не более чем за 10 минут; автоматические тесты должны покрывать не менее 70% бизнес-логики MVP.</w:t>
            </w:r>
          </w:p>
        </w:tc>
        <w:tc>
          <w:tcPr>
            <w:tcW w:type="dxa" w:w="244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Отчет CI и отчет покрытия на основной ветке.</w:t>
            </w:r>
          </w:p>
        </w:tc>
      </w:tr>
      <w:tr>
        <w:trPr>
          <w:cantSplit/>
        </w:trPr>
        <w:tc>
          <w:tcPr>
            <w:tcW w:type="dxa" w:w="720"/>
            <w:tcMar>
              <w:top w:w="90" w:type="dxa"/>
              <w:start w:w="85" w:type="dxa"/>
              <w:bottom w:w="90" w:type="dxa"/>
              <w:end w:w="85" w:type="dxa"/>
            </w:tcMar>
            <w:vAlign w:val="center"/>
          </w:tcPr>
          <w:p>
            <w:pPr>
              <w:spacing w:after="0" w:line="240" w:lineRule="auto"/>
              <w:jc w:val="center"/>
            </w:pPr>
            <w:r>
              <w:rPr>
                <w:rFonts w:ascii="Segoe UI" w:hAnsi="Segoe UI" w:eastAsia="Segoe UI"/>
                <w:b w:val="0"/>
                <w:i w:val="0"/>
                <w:color w:val="232323"/>
                <w:sz w:val="15"/>
              </w:rPr>
              <w:t>NFR-17</w:t>
            </w:r>
          </w:p>
        </w:tc>
        <w:tc>
          <w:tcPr>
            <w:tcW w:type="dxa" w:w="1584"/>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Эксплуатация</w:t>
            </w:r>
          </w:p>
        </w:tc>
        <w:tc>
          <w:tcPr>
            <w:tcW w:type="dxa" w:w="460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Критические события должны поступать в мониторинг не позднее 2 минут; дежурный должен подтвердить инцидент уровня P1 не позднее 15 минут после оповещения.</w:t>
            </w:r>
          </w:p>
        </w:tc>
        <w:tc>
          <w:tcPr>
            <w:tcW w:type="dxa" w:w="244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5"/>
              </w:rPr>
              <w:t>Тестовое отключение сервиса, журнал мониторинга и отметка времени подтверждения.</w:t>
            </w:r>
          </w:p>
        </w:tc>
      </w:tr>
      <w:tr>
        <w:trPr>
          <w:cantSplit/>
        </w:trPr>
        <w:tc>
          <w:tcPr>
            <w:tcW w:type="dxa" w:w="720"/>
            <w:tcMar>
              <w:top w:w="90" w:type="dxa"/>
              <w:start w:w="85" w:type="dxa"/>
              <w:bottom w:w="90" w:type="dxa"/>
              <w:end w:w="85" w:type="dxa"/>
            </w:tcMar>
            <w:vAlign w:val="center"/>
            <w:shd w:fill="EEF7FC"/>
          </w:tcPr>
          <w:p>
            <w:pPr>
              <w:spacing w:after="0" w:line="240" w:lineRule="auto"/>
              <w:jc w:val="center"/>
            </w:pPr>
            <w:r>
              <w:rPr>
                <w:rFonts w:ascii="Segoe UI" w:hAnsi="Segoe UI" w:eastAsia="Segoe UI"/>
                <w:b w:val="0"/>
                <w:i w:val="0"/>
                <w:color w:val="232323"/>
                <w:sz w:val="15"/>
              </w:rPr>
              <w:t>NFR-18</w:t>
            </w:r>
          </w:p>
        </w:tc>
        <w:tc>
          <w:tcPr>
            <w:tcW w:type="dxa" w:w="1584"/>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Миграция данных</w:t>
            </w:r>
          </w:p>
        </w:tc>
        <w:tc>
          <w:tcPr>
            <w:tcW w:type="dxa" w:w="460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Импорт тестового набора из 10 000 профилей и поездок должен завершаться не более чем за 30 минут, сохранить не менее 99,9% валидных записей и сформировать отчет по каждой отклоненной записи.</w:t>
            </w:r>
          </w:p>
        </w:tc>
        <w:tc>
          <w:tcPr>
            <w:tcW w:type="dxa" w:w="244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5"/>
              </w:rPr>
              <w:t>Контрольный импорт, сверка количества и выборочная проверка 100 записей.</w:t>
            </w:r>
          </w:p>
        </w:tc>
      </w:tr>
    </w:tbl>
    <w:p>
      <w:pPr>
        <w:spacing w:after="40"/>
      </w:pPr>
    </w:p>
    <w:p>
      <w:pPr>
        <w:keepNext/>
        <w:spacing w:before="180" w:after="100"/>
      </w:pPr>
      <w:r>
        <w:rPr>
          <w:rFonts w:ascii="Segoe UI" w:hAnsi="Segoe UI" w:eastAsia="Segoe UI"/>
          <w:b/>
          <w:i w:val="0"/>
          <w:color w:val="232323"/>
          <w:sz w:val="24"/>
        </w:rPr>
        <w:t>Самопроверка НФТ</w:t>
      </w:r>
    </w:p>
    <w:p>
      <w:pPr>
        <w:spacing w:after="80"/>
        <w:ind w:left="346" w:hanging="230"/>
      </w:pPr>
      <w:r>
        <w:rPr>
          <w:rFonts w:ascii="Segoe UI" w:hAnsi="Segoe UI" w:eastAsia="Segoe UI"/>
          <w:b w:val="0"/>
          <w:i w:val="0"/>
          <w:color w:val="232323"/>
          <w:sz w:val="21"/>
        </w:rPr>
        <w:t>•  У каждого требования есть измеримый порог, условия проверки и источник результата.</w:t>
      </w:r>
    </w:p>
    <w:p>
      <w:pPr>
        <w:spacing w:after="80"/>
        <w:ind w:left="346" w:hanging="230"/>
      </w:pPr>
      <w:r>
        <w:rPr>
          <w:rFonts w:ascii="Segoe UI" w:hAnsi="Segoe UI" w:eastAsia="Segoe UI"/>
          <w:b w:val="0"/>
          <w:i w:val="0"/>
          <w:color w:val="232323"/>
          <w:sz w:val="21"/>
        </w:rPr>
        <w:t>•  Охвачены производительность, масштабируемость, доступность, безопасность и роли, аудит, резервное копирование и RPO/RTO, персональные данные, локализация kk/ru/en, доступность интерфейса, совместимость, эксплуатация и миграция данных.</w:t>
      </w:r>
    </w:p>
    <w:p>
      <w:pPr>
        <w:spacing w:after="80"/>
        <w:ind w:left="346" w:hanging="230"/>
      </w:pPr>
      <w:r>
        <w:rPr>
          <w:rFonts w:ascii="Segoe UI" w:hAnsi="Segoe UI" w:eastAsia="Segoe UI"/>
          <w:b w:val="0"/>
          <w:i w:val="0"/>
          <w:color w:val="232323"/>
          <w:sz w:val="21"/>
        </w:rPr>
        <w:t>•  Нет формулировок «система быстрая», «удобная» или «надежная» без критерия приемки.</w:t>
      </w:r>
    </w:p>
    <w:p>
      <w:pPr>
        <w:keepNext/>
        <w:spacing w:before="280" w:after="100"/>
      </w:pPr>
      <w:r>
        <w:rPr>
          <w:rFonts w:ascii="Segoe UI" w:hAnsi="Segoe UI" w:eastAsia="Segoe UI"/>
          <w:b/>
          <w:i w:val="0"/>
          <w:color w:val="232323"/>
          <w:sz w:val="32"/>
        </w:rPr>
        <w:t>5 бөлім Тапсыру алдындағы самопроверка</w:t>
      </w:r>
    </w:p>
    <w:tbl>
      <w:tblPr>
        <w:tblW w:type="auto" w:w="0"/>
        <w:jc w:val="center"/>
        <w:tblLayout w:type="fixed"/>
        <w:tblLook w:firstColumn="1" w:firstRow="1" w:lastColumn="0" w:lastRow="0" w:noHBand="0" w:noVBand="1" w:val="04A0"/>
        <w:tblBorders>
          <w:top w:val="single" w:sz="5" w:color="9DCBE8"/>
          <w:left w:val="single" w:sz="5" w:color="9DCBE8"/>
          <w:bottom w:val="single" w:sz="5" w:color="9DCBE8"/>
          <w:right w:val="single" w:sz="5" w:color="9DCBE8"/>
          <w:insideH w:val="single" w:sz="5" w:color="9DCBE8"/>
          <w:insideV w:val="single" w:sz="5" w:color="9DCBE8"/>
        </w:tblBorders>
      </w:tblPr>
      <w:tblGrid>
        <w:gridCol w:w="4773"/>
        <w:gridCol w:w="4773"/>
      </w:tblGrid>
      <w:tr>
        <w:trPr>
          <w:tblHeader/>
          <w:cantSplit/>
        </w:trPr>
        <w:tc>
          <w:tcPr>
            <w:tcW w:type="dxa" w:w="3672"/>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7"/>
              </w:rPr>
              <w:t>Тексеру</w:t>
            </w:r>
          </w:p>
        </w:tc>
        <w:tc>
          <w:tcPr>
            <w:tcW w:type="dxa" w:w="5688"/>
            <w:shd w:fill="1DA1DB"/>
            <w:tcMar>
              <w:top w:w="90" w:type="dxa"/>
              <w:start w:w="85" w:type="dxa"/>
              <w:bottom w:w="90" w:type="dxa"/>
              <w:end w:w="85" w:type="dxa"/>
            </w:tcMar>
            <w:vAlign w:val="center"/>
          </w:tcPr>
          <w:p>
            <w:pPr>
              <w:spacing w:after="0"/>
              <w:jc w:val="left"/>
            </w:pPr>
            <w:r>
              <w:rPr>
                <w:rFonts w:ascii="Segoe UI" w:hAnsi="Segoe UI" w:eastAsia="Segoe UI"/>
                <w:b/>
                <w:i w:val="0"/>
                <w:color w:val="FFFFFF"/>
                <w:sz w:val="17"/>
              </w:rPr>
              <w:t>Қалай орындалды</w:t>
            </w:r>
          </w:p>
        </w:tc>
      </w:tr>
      <w:tr>
        <w:trPr>
          <w:cantSplit/>
        </w:trPr>
        <w:tc>
          <w:tcPr>
            <w:tcW w:type="dxa" w:w="367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Стейкхолдерлер толық па</w:t>
            </w:r>
          </w:p>
        </w:tc>
        <w:tc>
          <w:tcPr>
            <w:tcW w:type="dxa" w:w="56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11 тарап; жасырын тараптар ретінде қауіпсіздік, заң және пайдалану қызметтері көрсетілген</w:t>
            </w:r>
          </w:p>
        </w:tc>
      </w:tr>
      <w:tr>
        <w:trPr>
          <w:cantSplit/>
        </w:trPr>
        <w:tc>
          <w:tcPr>
            <w:tcW w:type="dxa" w:w="367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Коммуникация жоспары толық па</w:t>
            </w:r>
          </w:p>
        </w:tc>
        <w:tc>
          <w:tcPr>
            <w:tcW w:type="dxa" w:w="568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Не, кімге, жиілік, арна және жауапты көрсетілген; жұмыс сұрақтарын бір тізімге жинау ережесі бар</w:t>
            </w:r>
          </w:p>
        </w:tc>
      </w:tr>
      <w:tr>
        <w:trPr>
          <w:cantSplit/>
        </w:trPr>
        <w:tc>
          <w:tcPr>
            <w:tcW w:type="dxa" w:w="367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Сұхбат материалдары толық па</w:t>
            </w:r>
          </w:p>
        </w:tc>
        <w:tc>
          <w:tcPr>
            <w:tcW w:type="dxa" w:w="56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Бір модельдік хаттама тапсырыс берушіге, бірі пайдаланушыға арналған; әрқайсысында backlog өзгерісі бар</w:t>
            </w:r>
          </w:p>
        </w:tc>
      </w:tr>
      <w:tr>
        <w:trPr>
          <w:cantSplit/>
        </w:trPr>
        <w:tc>
          <w:tcPr>
            <w:tcW w:type="dxa" w:w="367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Story map толық жолды көрсете ме</w:t>
            </w:r>
          </w:p>
        </w:tc>
        <w:tc>
          <w:tcPr>
            <w:tcW w:type="dxa" w:w="568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Тіркелу, іздеу, құру, қосылу, басқару және кері байланыс кезеңдері бар</w:t>
            </w:r>
          </w:p>
        </w:tc>
      </w:tr>
      <w:tr>
        <w:trPr>
          <w:cantSplit/>
        </w:trPr>
        <w:tc>
          <w:tcPr>
            <w:tcW w:type="dxa" w:w="367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MVP тікелей тексеріле ме</w:t>
            </w:r>
          </w:p>
        </w:tc>
        <w:tc>
          <w:tcPr>
            <w:tcW w:type="dxa" w:w="56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US-01–US-12 және US-17 толық пайдаланушы жолын және мәртебе хабарламасын жасайды</w:t>
            </w:r>
          </w:p>
        </w:tc>
      </w:tr>
      <w:tr>
        <w:trPr>
          <w:cantSplit/>
        </w:trPr>
        <w:tc>
          <w:tcPr>
            <w:tcW w:type="dxa" w:w="3672"/>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Бэклог критерийлері тексеріле ме</w:t>
            </w:r>
          </w:p>
        </w:tc>
        <w:tc>
          <w:tcPr>
            <w:tcW w:type="dxa" w:w="5688"/>
            <w:tcMar>
              <w:top w:w="90" w:type="dxa"/>
              <w:start w:w="85" w:type="dxa"/>
              <w:bottom w:w="90" w:type="dxa"/>
              <w:end w:w="85" w:type="dxa"/>
            </w:tcMar>
            <w:vAlign w:val="center"/>
            <w:shd w:fill="EEF7FC"/>
          </w:tcPr>
          <w:p>
            <w:pPr>
              <w:spacing w:after="0" w:line="240" w:lineRule="auto"/>
              <w:jc w:val="left"/>
            </w:pPr>
            <w:r>
              <w:rPr>
                <w:rFonts w:ascii="Segoe UI" w:hAnsi="Segoe UI" w:eastAsia="Segoe UI"/>
                <w:b w:val="0"/>
                <w:i w:val="0"/>
                <w:color w:val="232323"/>
                <w:sz w:val="17"/>
              </w:rPr>
              <w:t>18 тарихта оң және теріс Given–When–Then сценарийі, SP, эпик, белгі, релиз және INVEST тексеруі бар</w:t>
            </w:r>
          </w:p>
        </w:tc>
      </w:tr>
      <w:tr>
        <w:trPr>
          <w:cantSplit/>
        </w:trPr>
        <w:tc>
          <w:tcPr>
            <w:tcW w:type="dxa" w:w="3672"/>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НФТ өлшенген бе</w:t>
            </w:r>
          </w:p>
        </w:tc>
        <w:tc>
          <w:tcPr>
            <w:tcW w:type="dxa" w:w="5688"/>
            <w:tcMar>
              <w:top w:w="90" w:type="dxa"/>
              <w:start w:w="85" w:type="dxa"/>
              <w:bottom w:w="90" w:type="dxa"/>
              <w:end w:w="85" w:type="dxa"/>
            </w:tcMar>
            <w:vAlign w:val="center"/>
          </w:tcPr>
          <w:p>
            <w:pPr>
              <w:spacing w:after="0" w:line="240" w:lineRule="auto"/>
              <w:jc w:val="left"/>
            </w:pPr>
            <w:r>
              <w:rPr>
                <w:rFonts w:ascii="Segoe UI" w:hAnsi="Segoe UI" w:eastAsia="Segoe UI"/>
                <w:b w:val="0"/>
                <w:i w:val="0"/>
                <w:color w:val="232323"/>
                <w:sz w:val="17"/>
              </w:rPr>
              <w:t>18 талаптың әрқайсысында сандық шек және тексеру әдісі бар; барлық міндетті санат қамтылған</w:t>
            </w:r>
          </w:p>
        </w:tc>
      </w:tr>
    </w:tbl>
    <w:p>
      <w:pPr>
        <w:spacing w:after="40"/>
      </w:pPr>
    </w:p>
    <w:p>
      <w:pPr>
        <w:keepNext/>
        <w:spacing w:before="180" w:after="100"/>
      </w:pPr>
      <w:r>
        <w:rPr>
          <w:rFonts w:ascii="Segoe UI" w:hAnsi="Segoe UI" w:eastAsia="Segoe UI"/>
          <w:b/>
          <w:i w:val="0"/>
          <w:color w:val="232323"/>
          <w:sz w:val="24"/>
        </w:rPr>
        <w:t>Жасанды интеллектіні пайдалану туралы ашып көрсету</w:t>
      </w:r>
    </w:p>
    <w:p>
      <w:pPr>
        <w:keepLines/>
        <w:spacing w:after="140" w:line="269" w:lineRule="auto"/>
        <w:jc w:val="both"/>
      </w:pPr>
      <w:r>
        <w:rPr>
          <w:rFonts w:ascii="Segoe UI" w:hAnsi="Segoe UI" w:eastAsia="Segoe UI"/>
          <w:b w:val="0"/>
          <w:i w:val="0"/>
          <w:color w:val="232323"/>
          <w:sz w:val="21"/>
        </w:rPr>
        <w:t>OpenAI Codex құралын құжат құрылымының, кестелердің және тұжырым нұсқаларының черновигін дайындау үшін қолдандық. Команда талаптардың жобаға сәйкестігін, GitHub Issues мазмұнын және барлық сандық допущениелерді тексеруге жауап береді. Модельдік сұхбат мәтіндері нақты респонденттердің сөзі ретінде ұсынылмайды.</w:t>
      </w:r>
    </w:p>
    <w:p>
      <w:pPr>
        <w:keepNext/>
        <w:spacing w:before="180" w:after="100"/>
      </w:pPr>
      <w:r>
        <w:rPr>
          <w:rFonts w:ascii="Segoe UI" w:hAnsi="Segoe UI" w:eastAsia="Segoe UI"/>
          <w:b/>
          <w:i w:val="0"/>
          <w:color w:val="232323"/>
          <w:sz w:val="24"/>
        </w:rPr>
        <w:t>1 қатысушының қорғау мәтіні</w:t>
      </w:r>
    </w:p>
    <w:p>
      <w:pPr>
        <w:keepLines/>
        <w:spacing w:after="140" w:line="269" w:lineRule="auto"/>
        <w:jc w:val="both"/>
      </w:pPr>
      <w:r>
        <w:rPr>
          <w:rFonts w:ascii="Segoe UI" w:hAnsi="Segoe UI" w:eastAsia="Segoe UI"/>
          <w:b w:val="0"/>
          <w:i w:val="0"/>
          <w:color w:val="232323"/>
          <w:sz w:val="21"/>
        </w:rPr>
        <w:t>Менің бөлігім стейкхолдерлерді, коммуникацияны және сұхбаттарды қамтиды. Біз он бір мүдделі тарапты ықпал мен қызығушылық бойынша бағаладық. Жасырын тарап ретінде ақпараттық қауіпсіздік, заң және пайдалану қызметтерін қостық, себебі олар тапсырыс бермесе де іске қосуды тоқтата алады. Коммуникация жоспарында не, кімге, қандай жиілікпен, қай арнада берілетіні және кім жауапты екені көрсетілді. Жеке хабарламаларды көбейтпеу үшін сұрақтар GitHub-тағы бір тізімге жиналып, тапсырыс берушіге апталық пакетпен қойылады. Методичка талабына сай бір модельдік сұхбат пайдаланушыға, екіншісі тапсырыс берушіге арналған. Нәтижесінде US-17 MVP-ге ауыстырылып, қауіпсіздік, аудит және эксплуатация талаптары қабылдау шарттарына енгізілді.</w:t>
      </w:r>
    </w:p>
    <w:p>
      <w:pPr>
        <w:keepNext/>
        <w:spacing w:before="180" w:after="100"/>
      </w:pPr>
      <w:r>
        <w:rPr>
          <w:rFonts w:ascii="Segoe UI" w:hAnsi="Segoe UI" w:eastAsia="Segoe UI"/>
          <w:b/>
          <w:i w:val="0"/>
          <w:color w:val="232323"/>
          <w:sz w:val="24"/>
        </w:rPr>
        <w:t>2 қатысушының қорғау мәтіні</w:t>
      </w:r>
    </w:p>
    <w:p>
      <w:pPr>
        <w:keepLines/>
        <w:spacing w:after="140" w:line="269" w:lineRule="auto"/>
        <w:jc w:val="both"/>
      </w:pPr>
      <w:r>
        <w:rPr>
          <w:rFonts w:ascii="Segoe UI" w:hAnsi="Segoe UI" w:eastAsia="Segoe UI"/>
          <w:b w:val="0"/>
          <w:i w:val="0"/>
          <w:color w:val="232323"/>
          <w:sz w:val="21"/>
        </w:rPr>
        <w:t>Менің бөлігім story map пен өнім бэклогына арналған. Картаның жоғарғы қатары пайдаланушының алты негізгі қадамын көрсетеді, ал MVP срезі тіркелуден сапарды жабуға дейінгі сквозной жолды қамтиды. US-17 тарихы MVP-ге ауыстырылды. Ішкі төлем, коммерциялық такси, навигация, сақтандыру және төтенше қызмет MVP-ге әдейі кірмейді. Бэклогтағы 18 user story эпикке және релизге байланыстырылып, story point пен белгілер қойылды. Әр MVP тарихында оң және теріс Given–When–Then сценарийі бар. INVEST тексеруінде барлық тарих 5 SP-ден аспайды, L өлшемді тарих жоқ.</w:t>
      </w:r>
    </w:p>
    <w:p>
      <w:pPr>
        <w:keepNext/>
        <w:spacing w:before="180" w:after="100"/>
      </w:pPr>
      <w:r>
        <w:rPr>
          <w:rFonts w:ascii="Segoe UI" w:hAnsi="Segoe UI" w:eastAsia="Segoe UI"/>
          <w:b/>
          <w:i w:val="0"/>
          <w:color w:val="232323"/>
          <w:sz w:val="24"/>
        </w:rPr>
        <w:t>Текст защиты участника 3</w:t>
      </w:r>
    </w:p>
    <w:p>
      <w:pPr>
        <w:keepLines/>
        <w:spacing w:after="140" w:line="269" w:lineRule="auto"/>
        <w:jc w:val="both"/>
      </w:pPr>
      <w:r>
        <w:rPr>
          <w:rFonts w:ascii="Segoe UI" w:hAnsi="Segoe UI" w:eastAsia="Segoe UI"/>
          <w:b w:val="0"/>
          <w:i w:val="0"/>
          <w:color w:val="232323"/>
          <w:sz w:val="21"/>
        </w:rPr>
        <w:t>Моя часть посвящена спецификации нефункциональных требований ENUWay. Она выбрана как самая простая для отдельной защиты, потому что оформляется одной таблицей и проверяется по правилу: у каждого требования есть число и метод проверки. В спецификации 18 требований и все категории из методички, включая эксплуатацию, миграцию данных и локализацию на казахский, русский и английский языки. Например, при 200 одновременных пользователях поиск отвечает с p95 не более 800 миллисекунд и долей ошибок не более 1 процента. Для резервного копирования установлены RPO не более 24 часов и RTO не более 4 часов. Числовые пороги обозначены как проектные допущения и согласуются с заказчиком перед пилотом.</w:t>
      </w:r>
    </w:p>
    <w:sectPr>
      <w:pgSz w:w="11907" w:h="16839"/>
      <w:pgMar w:top="1120" w:right="1120" w:bottom="1120" w:left="1240" w:header="708" w:footer="708" w:gutter="0"/>
      <w:cols w:space="708"/>
      <w:docGrid w:linePitch="360"/>
    </w:sectPr>
  </w:body>
</w:document>
</file>

<file path=word/styles.xml><?xml version="1.0" encoding="utf-8"?>
<w:styles xmlns:w="http://schemas.openxmlformats.org/wordprocessingml/2006/main">
  <w:docDefaults>
    <w:rPrDefault>
      <w:rPr>
        <w:rFonts w:ascii="Segoe UI" w:hAnsi="Segoe UI" w:cs="Segoe UI"/>
        <w:color w:val="1A1A1A"/>
        <w:sz w:val="22"/>
        <w:szCs w:val="22"/>
        <w:lang w:val="ru-RU"/>
      </w:rPr>
    </w:rPrDefault>
    <w:pPrDefault>
      <w:pPr>
        <w:spacing w:after="120" w:line="276"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ЛЗ 4. Story map, бэклог и спецификация нефункциональных требований</dc:title>
  <dc:creator>Управление ИТ-проектами · Неделя 4 · 4 курс бакалавриата · осень 2026</dc:creator>
  <cp:lastModifiedBy>Управление ИТ-проектами · Неделя 4 · 4 курс бакалавриата · осень 2026</cp:lastModifiedBy>
  <dcterms:created xsi:type="dcterms:W3CDTF">2026-09-12T13:52:18Z</dcterms:created>
  <dcterms:modified xsi:type="dcterms:W3CDTF">2026-09-12T13:52:18Z</dcterms:modified>
</cp:coreProperties>
</file>