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project-hub-demo-one-project-end-to-end"/>
    <w:p>
      <w:pPr>
        <w:pStyle w:val="Heading1"/>
      </w:pPr>
      <w:r>
        <w:t xml:space="preserve">Project Hub Demo — One Project, End to End</w:t>
      </w:r>
    </w:p>
    <w:p>
      <w:pPr>
        <w:pStyle w:val="FirstParagraph"/>
      </w:pPr>
      <w:r>
        <w:rPr>
          <w:bCs/>
          <w:b/>
        </w:rPr>
        <w:t xml:space="preserve">The story:</w:t>
      </w:r>
      <w:r>
        <w:t xml:space="preserve"> </w:t>
      </w:r>
      <w:r>
        <w:rPr>
          <w:iCs/>
          <w:i/>
        </w:rPr>
        <w:t xml:space="preserve">“</w:t>
      </w:r>
      <w:r>
        <w:rPr>
          <w:iCs/>
          <w:i/>
        </w:rPr>
        <w:t xml:space="preserve">Let me show you the entire platform through the eyes of one real project — the ESG Portal, our Streamliner initiative. I’ll take it from the day someone asked for it, all the way to closure, the way it actually runs in Project Hub.</w:t>
      </w:r>
      <w:r>
        <w:rPr>
          <w:iCs/>
          <w:i/>
        </w:rPr>
        <w:t xml:space="preserve">”</w:t>
      </w:r>
    </w:p>
    <w:p>
      <w:pPr>
        <w:pStyle w:val="BodyText"/>
      </w:pPr>
      <w:r>
        <w:rPr>
          <w:bCs/>
          <w:b/>
        </w:rPr>
        <w:t xml:space="preserve">Setup before you start:</w:t>
      </w:r>
      <w:r>
        <w:t xml:space="preserve"> </w:t>
      </w:r>
      <w:r>
        <w:t xml:space="preserve">sign in at</w:t>
      </w:r>
      <w:r>
        <w:t xml:space="preserve"> </w:t>
      </w:r>
      <w:r>
        <w:rPr>
          <w:rStyle w:val="VerbatimChar"/>
        </w:rPr>
        <w:t xml:space="preserve">http://172.30.101.2:5182</w:t>
      </w:r>
      <w:r>
        <w:t xml:space="preserve">, search/open</w:t>
      </w:r>
      <w:r>
        <w:t xml:space="preserve"> </w:t>
      </w:r>
      <w:r>
        <w:rPr>
          <w:bCs/>
          <w:b/>
        </w:rPr>
        <w:t xml:space="preserve">ESG Portal</w:t>
      </w:r>
      <w:r>
        <w:t xml:space="preserve">, and keep the</w:t>
      </w:r>
      <w:r>
        <w:t xml:space="preserve"> </w:t>
      </w:r>
      <w:r>
        <w:rPr>
          <w:bCs/>
          <w:b/>
        </w:rPr>
        <w:t xml:space="preserve">Ask NYRA</w:t>
      </w:r>
      <w:r>
        <w:t xml:space="preserve"> </w:t>
      </w:r>
      <w:r>
        <w:t xml:space="preserve">header button in view. One project, one continuous story — don’t jump to menus.</w:t>
      </w:r>
    </w:p>
    <w:p>
      <w:r>
        <w:pict>
          <v:rect style="width:0;height:1.5pt" o:hralign="center" o:hrstd="t" o:hr="t"/>
        </w:pict>
      </w:r>
    </w:p>
    <w:bookmarkStart w:id="20" w:name="X858cf31a9d1333307b7aea2d8a262101a81b01c"/>
    <w:p>
      <w:pPr>
        <w:pStyle w:val="Heading2"/>
      </w:pPr>
      <w:r>
        <w:t xml:space="preserve">Scene 1 —</w:t>
      </w:r>
      <w:r>
        <w:t xml:space="preserve"> </w:t>
      </w:r>
      <w:r>
        <w:t xml:space="preserve">“</w:t>
      </w:r>
      <w:r>
        <w:t xml:space="preserve">It starts as a demand, not a spreadsheet</w:t>
      </w:r>
      <w:r>
        <w:t xml:space="preserve">”</w:t>
      </w:r>
      <w:r>
        <w:t xml:space="preserve"> </w:t>
      </w:r>
      <w:r>
        <w:t xml:space="preserve">(2 min)</w:t>
      </w:r>
    </w:p>
    <w:p>
      <w:pPr>
        <w:pStyle w:val="FirstParagraph"/>
      </w:pPr>
      <w:r>
        <w:rPr>
          <w:bCs/>
          <w:b/>
        </w:rPr>
        <w:t xml:space="preserve">Where:</w:t>
      </w:r>
      <w:r>
        <w:t xml:space="preserve"> </w:t>
      </w:r>
      <w:r>
        <w:t xml:space="preserve">Demands → the ESG Portal demand → its Charter</w:t>
      </w:r>
    </w:p>
    <w:p>
      <w:pPr>
        <w:pStyle w:val="BlockText"/>
      </w:pPr>
      <w:r>
        <w:rPr>
          <w:iCs/>
          <w:i/>
        </w:rPr>
        <w:t xml:space="preserve">“</w:t>
      </w:r>
      <w:r>
        <w:rPr>
          <w:iCs/>
          <w:i/>
        </w:rPr>
        <w:t xml:space="preserve">Every project at Granules begins life here, as a demand. Someone in the business needed an ESG reporting portal. Instead of an email to IT, it’s captured as a structured request — sponsor, business case, expected benefit.</w:t>
      </w:r>
      <w:r>
        <w:rPr>
          <w:iCs/>
          <w:i/>
        </w:rPr>
        <w:t xml:space="preserve">”</w:t>
      </w:r>
    </w:p>
    <w:p>
      <w:pPr>
        <w:numPr>
          <w:ilvl w:val="0"/>
          <w:numId w:val="1001"/>
        </w:numPr>
        <w:pStyle w:val="Compact"/>
      </w:pPr>
      <w:r>
        <w:t xml:space="preserve">Show the</w:t>
      </w:r>
      <w:r>
        <w:t xml:space="preserve"> </w:t>
      </w:r>
      <w:r>
        <w:rPr>
          <w:bCs/>
          <w:b/>
        </w:rPr>
        <w:t xml:space="preserve">Charter</w:t>
      </w:r>
      <w:r>
        <w:t xml:space="preserve">:</w:t>
      </w:r>
      <w:r>
        <w:t xml:space="preserve"> </w:t>
      </w:r>
      <w:r>
        <w:rPr>
          <w:iCs/>
          <w:i/>
        </w:rPr>
        <w:t xml:space="preserve">“</w:t>
      </w:r>
      <w:r>
        <w:rPr>
          <w:iCs/>
          <w:i/>
        </w:rPr>
        <w:t xml:space="preserve">The demand becomes a charter, and the charter goes through a real approval chain — parallel review → SCM → Chairman → Finance → PMO. Not an email thread. A structured, auditable chain. Right now I can see exactly who’s approved and who we’re waiting on.</w:t>
      </w:r>
      <w:r>
        <w:rPr>
          <w:iCs/>
          <w:i/>
        </w:rPr>
        <w:t xml:space="preserve">”</w:t>
      </w:r>
    </w:p>
    <w:p>
      <w:pPr>
        <w:pStyle w:val="FirstParagraph"/>
      </w:pPr>
      <w:r>
        <w:rPr>
          <w:bCs/>
          <w:b/>
        </w:rPr>
        <w:t xml:space="preserve">Land it:</w:t>
      </w:r>
      <w:r>
        <w:t xml:space="preserve"> </w:t>
      </w:r>
      <w:r>
        <w:rPr>
          <w:iCs/>
          <w:i/>
        </w:rPr>
        <w:t xml:space="preserve">“</w:t>
      </w:r>
      <w:r>
        <w:rPr>
          <w:iCs/>
          <w:i/>
        </w:rPr>
        <w:t xml:space="preserve">From the very first moment, there’s one record and a clear owner — no</w:t>
      </w:r>
      <w:r>
        <w:rPr>
          <w:iCs/>
          <w:i/>
        </w:rPr>
        <w:t xml:space="preserve"> </w:t>
      </w:r>
      <w:r>
        <w:rPr>
          <w:iCs/>
          <w:i/>
        </w:rPr>
        <w:t xml:space="preserve">‘</w:t>
      </w:r>
      <w:r>
        <w:rPr>
          <w:iCs/>
          <w:i/>
        </w:rPr>
        <w:t xml:space="preserve">who approved this?</w:t>
      </w:r>
      <w:r>
        <w:rPr>
          <w:iCs/>
          <w:i/>
        </w:rPr>
        <w:t xml:space="preserve">’</w:t>
      </w:r>
      <w:r>
        <w:rPr>
          <w:iCs/>
          <w:i/>
        </w:rPr>
        <w:t xml:space="preserve"> </w:t>
      </w:r>
      <w:r>
        <w:rPr>
          <w:iCs/>
          <w:i/>
        </w:rPr>
        <w:t xml:space="preserve">six months later.</w:t>
      </w:r>
      <w:r>
        <w:rPr>
          <w:iCs/>
          <w:i/>
        </w:rPr>
        <w:t xml:space="preserve">”</w:t>
      </w:r>
    </w:p>
    <w:p>
      <w:r>
        <w:pict>
          <v:rect style="width:0;height:1.5pt" o:hralign="center" o:hrstd="t" o:hr="t"/>
        </w:pict>
      </w:r>
    </w:p>
    <w:bookmarkEnd w:id="20"/>
    <w:bookmarkStart w:id="21" w:name="Xa070d738bed9f1548a4fdc051e345d20132803f"/>
    <w:p>
      <w:pPr>
        <w:pStyle w:val="Heading2"/>
      </w:pPr>
      <w:r>
        <w:t xml:space="preserve">Scene 2 —</w:t>
      </w:r>
      <w:r>
        <w:t xml:space="preserve"> </w:t>
      </w:r>
      <w:r>
        <w:t xml:space="preserve">“</w:t>
      </w:r>
      <w:r>
        <w:t xml:space="preserve">The system won’t let us cut corners</w:t>
      </w:r>
      <w:r>
        <w:t xml:space="preserve">”</w:t>
      </w:r>
      <w:r>
        <w:t xml:space="preserve"> </w:t>
      </w:r>
      <w:r>
        <w:t xml:space="preserve">(3 min)</w:t>
      </w:r>
    </w:p>
    <w:p>
      <w:pPr>
        <w:pStyle w:val="FirstParagraph"/>
      </w:pPr>
      <w:r>
        <w:rPr>
          <w:bCs/>
          <w:b/>
        </w:rPr>
        <w:t xml:space="preserve">Where:</w:t>
      </w:r>
      <w:r>
        <w:t xml:space="preserve"> </w:t>
      </w:r>
      <w:r>
        <w:t xml:space="preserve">ESG Portal → Lifecycle / stage view</w:t>
      </w:r>
    </w:p>
    <w:p>
      <w:pPr>
        <w:pStyle w:val="BlockText"/>
      </w:pPr>
      <w:r>
        <w:rPr>
          <w:iCs/>
          <w:i/>
        </w:rPr>
        <w:t xml:space="preserve">“</w:t>
      </w:r>
      <w:r>
        <w:rPr>
          <w:iCs/>
          <w:i/>
        </w:rPr>
        <w:t xml:space="preserve">Once approved, ESG Portal enters the canonical Granules lifecycle — 3 phases, 13 stages, Plan → Execute → Close.</w:t>
      </w:r>
      <w:r>
        <w:rPr>
          <w:iCs/>
          <w:i/>
        </w:rPr>
        <w:t xml:space="preserve">”</w:t>
      </w:r>
    </w:p>
    <w:p>
      <w:pPr>
        <w:numPr>
          <w:ilvl w:val="0"/>
          <w:numId w:val="1002"/>
        </w:numPr>
        <w:pStyle w:val="Compact"/>
      </w:pPr>
      <w:r>
        <w:t xml:space="preserve">Point to where the project sits today on the stage rail.</w:t>
      </w:r>
    </w:p>
    <w:p>
      <w:pPr>
        <w:numPr>
          <w:ilvl w:val="0"/>
          <w:numId w:val="1002"/>
        </w:numPr>
        <w:pStyle w:val="Compact"/>
      </w:pPr>
      <w:r>
        <w:t xml:space="preserve">Click a</w:t>
      </w:r>
      <w:r>
        <w:t xml:space="preserve"> </w:t>
      </w:r>
      <w:r>
        <w:rPr>
          <w:bCs/>
          <w:b/>
        </w:rPr>
        <w:t xml:space="preserve">blocking gate</w:t>
      </w:r>
      <w:r>
        <w:t xml:space="preserve">:</w:t>
      </w:r>
      <w:r>
        <w:t xml:space="preserve"> </w:t>
      </w:r>
      <w:r>
        <w:rPr>
          <w:iCs/>
          <w:i/>
        </w:rPr>
        <w:t xml:space="preserve">“</w:t>
      </w:r>
      <w:r>
        <w:rPr>
          <w:iCs/>
          <w:i/>
        </w:rPr>
        <w:t xml:space="preserve">ESG Portal is a vendor-led IT project, so it has to go through vendor evaluation and finalization before any build starts. The system enforces that — I literally cannot advance this project past the gate until the documents are signed and the checklist is met. Watch.</w:t>
      </w:r>
      <w:r>
        <w:rPr>
          <w:iCs/>
          <w:i/>
        </w:rPr>
        <w:t xml:space="preserve">”</w:t>
      </w:r>
      <w:r>
        <w:t xml:space="preserve"> </w:t>
      </w:r>
      <w:r>
        <w:t xml:space="preserve">(Try to advance → it blocks.)</w:t>
      </w:r>
    </w:p>
    <w:p>
      <w:pPr>
        <w:pStyle w:val="FirstParagraph"/>
      </w:pPr>
      <w:r>
        <w:rPr>
          <w:bCs/>
          <w:b/>
        </w:rPr>
        <w:t xml:space="preserve">Land it:</w:t>
      </w:r>
      <w:r>
        <w:t xml:space="preserve"> </w:t>
      </w:r>
      <w:r>
        <w:rPr>
          <w:iCs/>
          <w:i/>
        </w:rPr>
        <w:t xml:space="preserve">“</w:t>
      </w:r>
      <w:r>
        <w:rPr>
          <w:iCs/>
          <w:i/>
        </w:rPr>
        <w:t xml:space="preserve">This is the line between a task tracker and a real PMO. The governance is in the software, not in someone’s memory.</w:t>
      </w:r>
      <w:r>
        <w:rPr>
          <w:iCs/>
          <w:i/>
        </w:rPr>
        <w:t xml:space="preserve">”</w:t>
      </w:r>
    </w:p>
    <w:p>
      <w:r>
        <w:pict>
          <v:rect style="width:0;height:1.5pt" o:hralign="center" o:hrstd="t" o:hr="t"/>
        </w:pict>
      </w:r>
    </w:p>
    <w:bookmarkEnd w:id="21"/>
    <w:bookmarkStart w:id="22" w:name="X2a187a8be6165aad6fb7b6cd96ca203e793b27a"/>
    <w:p>
      <w:pPr>
        <w:pStyle w:val="Heading2"/>
      </w:pPr>
      <w:r>
        <w:t xml:space="preserve">Scene 3 —</w:t>
      </w:r>
      <w:r>
        <w:t xml:space="preserve"> </w:t>
      </w:r>
      <w:r>
        <w:t xml:space="preserve">“</w:t>
      </w:r>
      <w:r>
        <w:t xml:space="preserve">Sourcing the vendor, sealed and auditable</w:t>
      </w:r>
      <w:r>
        <w:t xml:space="preserve">”</w:t>
      </w:r>
      <w:r>
        <w:t xml:space="preserve"> </w:t>
      </w:r>
      <w:r>
        <w:t xml:space="preserve">(3 min)</w:t>
      </w:r>
    </w:p>
    <w:p>
      <w:pPr>
        <w:pStyle w:val="FirstParagraph"/>
      </w:pPr>
      <w:r>
        <w:rPr>
          <w:bCs/>
          <w:b/>
        </w:rPr>
        <w:t xml:space="preserve">Where:</w:t>
      </w:r>
      <w:r>
        <w:t xml:space="preserve"> </w:t>
      </w:r>
      <w:r>
        <w:t xml:space="preserve">RFx → the ESG Portal sourcing event → Vendors</w:t>
      </w:r>
    </w:p>
    <w:p>
      <w:pPr>
        <w:pStyle w:val="BlockText"/>
      </w:pPr>
      <w:r>
        <w:rPr>
          <w:iCs/>
          <w:i/>
        </w:rPr>
        <w:t xml:space="preserve">“</w:t>
      </w:r>
      <w:r>
        <w:rPr>
          <w:iCs/>
          <w:i/>
        </w:rPr>
        <w:t xml:space="preserve">Because ESG Portal needs an external vendor, the project drives a full sourcing event right here.</w:t>
      </w:r>
      <w:r>
        <w:rPr>
          <w:iCs/>
          <w:i/>
        </w:rPr>
        <w:t xml:space="preserve">”</w:t>
      </w:r>
    </w:p>
    <w:p>
      <w:pPr>
        <w:numPr>
          <w:ilvl w:val="0"/>
          <w:numId w:val="1003"/>
        </w:numPr>
        <w:pStyle w:val="Compact"/>
      </w:pPr>
      <w:r>
        <w:t xml:space="preserve">Walk the flow:</w:t>
      </w:r>
      <w:r>
        <w:t xml:space="preserve"> </w:t>
      </w:r>
      <w:r>
        <w:rPr>
          <w:iCs/>
          <w:i/>
        </w:rPr>
        <w:t xml:space="preserve">“</w:t>
      </w:r>
      <w:r>
        <w:rPr>
          <w:iCs/>
          <w:i/>
        </w:rPr>
        <w:t xml:space="preserve">Create the RFP, invite vendors, they submit sealed, encrypted bid envelopes that nobody — not even us — can open before the deadline. After close, we open, score, run clarifications, and award. Every step audited.</w:t>
      </w:r>
      <w:r>
        <w:rPr>
          <w:iCs/>
          <w:i/>
        </w:rPr>
        <w:t xml:space="preserve">”</w:t>
      </w:r>
    </w:p>
    <w:p>
      <w:pPr>
        <w:numPr>
          <w:ilvl w:val="0"/>
          <w:numId w:val="1003"/>
        </w:numPr>
        <w:pStyle w:val="Compact"/>
      </w:pPr>
      <w:r>
        <w:t xml:space="preserve">Show the</w:t>
      </w:r>
      <w:r>
        <w:t xml:space="preserve"> </w:t>
      </w:r>
      <w:r>
        <w:rPr>
          <w:bCs/>
          <w:b/>
        </w:rPr>
        <w:t xml:space="preserve">vendor portal</w:t>
      </w:r>
      <w:r>
        <w:t xml:space="preserve"> </w:t>
      </w:r>
      <w:r>
        <w:t xml:space="preserve">point:</w:t>
      </w:r>
      <w:r>
        <w:t xml:space="preserve"> </w:t>
      </w:r>
      <w:r>
        <w:rPr>
          <w:iCs/>
          <w:i/>
        </w:rPr>
        <w:t xml:space="preserve">“</w:t>
      </w:r>
      <w:r>
        <w:rPr>
          <w:iCs/>
          <w:i/>
        </w:rPr>
        <w:t xml:space="preserve">Vendors do all this through a completely separate, OTP-secured portal. They never touch our employee systems.</w:t>
      </w:r>
      <w:r>
        <w:rPr>
          <w:iCs/>
          <w:i/>
        </w:rPr>
        <w:t xml:space="preserve">”</w:t>
      </w:r>
    </w:p>
    <w:p>
      <w:pPr>
        <w:pStyle w:val="FirstParagraph"/>
      </w:pPr>
      <w:r>
        <w:rPr>
          <w:bCs/>
          <w:b/>
        </w:rPr>
        <w:t xml:space="preserve">Land it:</w:t>
      </w:r>
      <w:r>
        <w:t xml:space="preserve"> </w:t>
      </w:r>
      <w:r>
        <w:rPr>
          <w:iCs/>
          <w:i/>
        </w:rPr>
        <w:t xml:space="preserve">“</w:t>
      </w:r>
      <w:r>
        <w:rPr>
          <w:iCs/>
          <w:i/>
        </w:rPr>
        <w:t xml:space="preserve">Procurement comes out of scattered spreadsheets and into one sealed, defensible process — and it’s tied to the same project record.</w:t>
      </w:r>
      <w:r>
        <w:rPr>
          <w:iCs/>
          <w:i/>
        </w:rPr>
        <w:t xml:space="preserve">”</w:t>
      </w:r>
    </w:p>
    <w:p>
      <w:r>
        <w:pict>
          <v:rect style="width:0;height:1.5pt" o:hralign="center" o:hrstd="t" o:hr="t"/>
        </w:pict>
      </w:r>
    </w:p>
    <w:bookmarkEnd w:id="22"/>
    <w:bookmarkStart w:id="23" w:name="X2078df32a877b274db2d4b343e597204417d97c"/>
    <w:p>
      <w:pPr>
        <w:pStyle w:val="Heading2"/>
      </w:pPr>
      <w:r>
        <w:t xml:space="preserve">Scene 4 —</w:t>
      </w:r>
      <w:r>
        <w:t xml:space="preserve"> </w:t>
      </w:r>
      <w:r>
        <w:t xml:space="preserve">“</w:t>
      </w:r>
      <w:r>
        <w:t xml:space="preserve">Now the work — and it’s a tool people enjoy</w:t>
      </w:r>
      <w:r>
        <w:t xml:space="preserve">”</w:t>
      </w:r>
      <w:r>
        <w:t xml:space="preserve"> </w:t>
      </w:r>
      <w:r>
        <w:t xml:space="preserve">(4 min)</w:t>
      </w:r>
    </w:p>
    <w:p>
      <w:pPr>
        <w:pStyle w:val="FirstParagraph"/>
      </w:pPr>
      <w:r>
        <w:rPr>
          <w:bCs/>
          <w:b/>
        </w:rPr>
        <w:t xml:space="preserve">Where:</w:t>
      </w:r>
      <w:r>
        <w:t xml:space="preserve"> </w:t>
      </w:r>
      <w:r>
        <w:t xml:space="preserve">ESG Portal →</w:t>
      </w:r>
      <w:r>
        <w:t xml:space="preserve"> </w:t>
      </w:r>
      <w:r>
        <w:rPr>
          <w:bCs/>
          <w:b/>
        </w:rPr>
        <w:t xml:space="preserve">Work</w:t>
      </w:r>
      <w:r>
        <w:t xml:space="preserve"> </w:t>
      </w:r>
      <w:r>
        <w:t xml:space="preserve">tab (WBS tree)</w:t>
      </w:r>
    </w:p>
    <w:p>
      <w:pPr>
        <w:pStyle w:val="BlockText"/>
      </w:pPr>
      <w:r>
        <w:rPr>
          <w:iCs/>
          <w:i/>
        </w:rPr>
        <w:t xml:space="preserve">“</w:t>
      </w:r>
      <w:r>
        <w:rPr>
          <w:iCs/>
          <w:i/>
        </w:rPr>
        <w:t xml:space="preserve">Vendor’s on board, build begins. Here’s where the team actually lives day-to-day — and this is the Monday.com-class experience.</w:t>
      </w:r>
      <w:r>
        <w:rPr>
          <w:iCs/>
          <w:i/>
        </w:rPr>
        <w:t xml:space="preserve">”</w:t>
      </w:r>
    </w:p>
    <w:p>
      <w:pPr>
        <w:numPr>
          <w:ilvl w:val="0"/>
          <w:numId w:val="1004"/>
        </w:numPr>
        <w:pStyle w:val="Compact"/>
      </w:pPr>
      <w:r>
        <w:t xml:space="preserve">Show the</w:t>
      </w:r>
      <w:r>
        <w:t xml:space="preserve"> </w:t>
      </w:r>
      <w:r>
        <w:rPr>
          <w:bCs/>
          <w:b/>
        </w:rPr>
        <w:t xml:space="preserve">WBS tree</w:t>
      </w:r>
      <w:r>
        <w:t xml:space="preserve">: Stage → Milestone → Task → Subtask.</w:t>
      </w:r>
      <w:r>
        <w:t xml:space="preserve"> </w:t>
      </w:r>
      <w:r>
        <w:rPr>
          <w:iCs/>
          <w:i/>
        </w:rPr>
        <w:t xml:space="preserve">“</w:t>
      </w:r>
      <w:r>
        <w:rPr>
          <w:iCs/>
          <w:i/>
        </w:rPr>
        <w:t xml:space="preserve">Drag-and-drop to reorganize, inline edit, RASCI ownership on every task.</w:t>
      </w:r>
      <w:r>
        <w:rPr>
          <w:iCs/>
          <w:i/>
        </w:rPr>
        <w:t xml:space="preserve">”</w:t>
      </w:r>
    </w:p>
    <w:p>
      <w:pPr>
        <w:numPr>
          <w:ilvl w:val="0"/>
          <w:numId w:val="1004"/>
        </w:numPr>
        <w:pStyle w:val="Compact"/>
      </w:pPr>
      <w:r>
        <w:rPr>
          <w:bCs/>
          <w:b/>
        </w:rPr>
        <w:t xml:space="preserve">The rollup moment:</w:t>
      </w:r>
      <w:r>
        <w:t xml:space="preserve"> </w:t>
      </w:r>
      <w:r>
        <w:t xml:space="preserve">update one ESG Portal subtask to, say, 80% →</w:t>
      </w:r>
      <w:r>
        <w:t xml:space="preserve"> </w:t>
      </w:r>
      <w:r>
        <w:rPr>
          <w:iCs/>
          <w:i/>
        </w:rPr>
        <w:t xml:space="preserve">“</w:t>
      </w:r>
      <w:r>
        <w:rPr>
          <w:iCs/>
          <w:i/>
        </w:rPr>
        <w:t xml:space="preserve">Watch the milestone, the project, and the portfolio number all move instantly. I updated one subtask and leadership’s view is already current.</w:t>
      </w:r>
      <w:r>
        <w:rPr>
          <w:iCs/>
          <w:i/>
        </w:rPr>
        <w:t xml:space="preserve">”</w:t>
      </w:r>
    </w:p>
    <w:p>
      <w:pPr>
        <w:numPr>
          <w:ilvl w:val="0"/>
          <w:numId w:val="1004"/>
        </w:numPr>
        <w:pStyle w:val="Compact"/>
      </w:pPr>
      <w:r>
        <w:t xml:space="preserve">Switch views on the same data:</w:t>
      </w:r>
      <w:r>
        <w:t xml:space="preserve"> </w:t>
      </w:r>
      <w:r>
        <w:rPr>
          <w:iCs/>
          <w:i/>
        </w:rPr>
        <w:t xml:space="preserve">“</w:t>
      </w:r>
      <w:r>
        <w:rPr>
          <w:iCs/>
          <w:i/>
        </w:rPr>
        <w:t xml:space="preserve">Tree, Kanban, Table, Gantt timeline, Calendar — people work the way they think.</w:t>
      </w:r>
      <w:r>
        <w:rPr>
          <w:iCs/>
          <w:i/>
        </w:rPr>
        <w:t xml:space="preserve">”</w:t>
      </w:r>
    </w:p>
    <w:p>
      <w:pPr>
        <w:numPr>
          <w:ilvl w:val="0"/>
          <w:numId w:val="1004"/>
        </w:numPr>
        <w:pStyle w:val="Compact"/>
      </w:pPr>
      <w:r>
        <w:t xml:space="preserve">Show</w:t>
      </w:r>
      <w:r>
        <w:t xml:space="preserve"> </w:t>
      </w:r>
      <w:r>
        <w:rPr>
          <w:bCs/>
          <w:b/>
        </w:rPr>
        <w:t xml:space="preserve">Critical Path</w:t>
      </w:r>
      <w:r>
        <w:t xml:space="preserve">:</w:t>
      </w:r>
      <w:r>
        <w:t xml:space="preserve"> </w:t>
      </w:r>
      <w:r>
        <w:rPr>
          <w:iCs/>
          <w:i/>
        </w:rPr>
        <w:t xml:space="preserve">“</w:t>
      </w:r>
      <w:r>
        <w:rPr>
          <w:iCs/>
          <w:i/>
        </w:rPr>
        <w:t xml:space="preserve">And it tells me exactly which ESG Portal tasks, if they slip, push go-live. Plus a governance view showing which stage is blocking and who owns it.</w:t>
      </w:r>
      <w:r>
        <w:rPr>
          <w:iCs/>
          <w:i/>
        </w:rPr>
        <w:t xml:space="preserve">”</w:t>
      </w:r>
    </w:p>
    <w:p>
      <w:pPr>
        <w:pStyle w:val="FirstParagraph"/>
      </w:pPr>
      <w:r>
        <w:rPr>
          <w:bCs/>
          <w:b/>
        </w:rPr>
        <w:t xml:space="preserve">Land it:</w:t>
      </w:r>
      <w:r>
        <w:t xml:space="preserve"> </w:t>
      </w:r>
      <w:r>
        <w:rPr>
          <w:iCs/>
          <w:i/>
        </w:rPr>
        <w:t xml:space="preserve">“</w:t>
      </w:r>
      <w:r>
        <w:rPr>
          <w:iCs/>
          <w:i/>
        </w:rPr>
        <w:t xml:space="preserve">PMO tools die from non-adoption. This one the team will actually open — and every update they make feeds leadership automatically.</w:t>
      </w:r>
      <w:r>
        <w:rPr>
          <w:iCs/>
          <w:i/>
        </w:rPr>
        <w:t xml:space="preserve">”</w:t>
      </w:r>
    </w:p>
    <w:p>
      <w:r>
        <w:pict>
          <v:rect style="width:0;height:1.5pt" o:hralign="center" o:hrstd="t" o:hr="t"/>
        </w:pict>
      </w:r>
    </w:p>
    <w:bookmarkEnd w:id="23"/>
    <w:bookmarkStart w:id="24" w:name="scene-5-nothing-slips-silently-2-min"/>
    <w:p>
      <w:pPr>
        <w:pStyle w:val="Heading2"/>
      </w:pPr>
      <w:r>
        <w:t xml:space="preserve">Scene 5 —</w:t>
      </w:r>
      <w:r>
        <w:t xml:space="preserve"> </w:t>
      </w:r>
      <w:r>
        <w:t xml:space="preserve">“</w:t>
      </w:r>
      <w:r>
        <w:t xml:space="preserve">Nothing slips silently</w:t>
      </w:r>
      <w:r>
        <w:t xml:space="preserve">”</w:t>
      </w:r>
      <w:r>
        <w:t xml:space="preserve"> </w:t>
      </w:r>
      <w:r>
        <w:t xml:space="preserve">(2 min)</w:t>
      </w:r>
    </w:p>
    <w:p>
      <w:pPr>
        <w:pStyle w:val="FirstParagraph"/>
      </w:pPr>
      <w:r>
        <w:rPr>
          <w:bCs/>
          <w:b/>
        </w:rPr>
        <w:t xml:space="preserve">Where:</w:t>
      </w:r>
      <w:r>
        <w:t xml:space="preserve"> </w:t>
      </w:r>
      <w:r>
        <w:t xml:space="preserve">Nudges / Automations (filtered to ESG Portal) → Escalations</w:t>
      </w:r>
    </w:p>
    <w:p>
      <w:pPr>
        <w:pStyle w:val="BlockText"/>
      </w:pPr>
      <w:r>
        <w:rPr>
          <w:iCs/>
          <w:i/>
        </w:rPr>
        <w:t xml:space="preserve">“</w:t>
      </w:r>
      <w:r>
        <w:rPr>
          <w:iCs/>
          <w:i/>
        </w:rPr>
        <w:t xml:space="preserve">Say an ESG Portal stage goes overdue. I don’t have to notice it.</w:t>
      </w:r>
      <w:r>
        <w:rPr>
          <w:iCs/>
          <w:i/>
        </w:rPr>
        <w:t xml:space="preserve">”</w:t>
      </w:r>
    </w:p>
    <w:p>
      <w:pPr>
        <w:numPr>
          <w:ilvl w:val="0"/>
          <w:numId w:val="1005"/>
        </w:numPr>
        <w:pStyle w:val="Compact"/>
      </w:pPr>
      <w:r>
        <w:rPr>
          <w:iCs/>
          <w:i/>
        </w:rPr>
        <w:t xml:space="preserve">“</w:t>
      </w:r>
      <w:r>
        <w:rPr>
          <w:iCs/>
          <w:i/>
        </w:rPr>
        <w:t xml:space="preserve">The system auto-escalates up a tiered ladder to the right role, and AI nudges tell each person on this project what they should act on next. Budget overruns, schedule slips, RAG changes — all trigger alerts automatically.</w:t>
      </w:r>
      <w:r>
        <w:rPr>
          <w:iCs/>
          <w:i/>
        </w:rPr>
        <w:t xml:space="preserve">”</w:t>
      </w:r>
    </w:p>
    <w:p>
      <w:pPr>
        <w:pStyle w:val="FirstParagraph"/>
      </w:pPr>
      <w:r>
        <w:rPr>
          <w:bCs/>
          <w:b/>
        </w:rPr>
        <w:t xml:space="preserve">Land it:</w:t>
      </w:r>
      <w:r>
        <w:t xml:space="preserve"> </w:t>
      </w:r>
      <w:r>
        <w:rPr>
          <w:iCs/>
          <w:i/>
        </w:rPr>
        <w:t xml:space="preserve">“</w:t>
      </w:r>
      <w:r>
        <w:rPr>
          <w:iCs/>
          <w:i/>
        </w:rPr>
        <w:t xml:space="preserve">The platform does the chasing, so the PMO can do the thinking.</w:t>
      </w:r>
      <w:r>
        <w:rPr>
          <w:iCs/>
          <w:i/>
        </w:rPr>
        <w:t xml:space="preserve">”</w:t>
      </w:r>
    </w:p>
    <w:p>
      <w:r>
        <w:pict>
          <v:rect style="width:0;height:1.5pt" o:hralign="center" o:hrstd="t" o:hr="t"/>
        </w:pict>
      </w:r>
    </w:p>
    <w:bookmarkEnd w:id="24"/>
    <w:bookmarkStart w:id="25" w:name="X08168cdc960c9459b86165f88716758ab5f0629"/>
    <w:p>
      <w:pPr>
        <w:pStyle w:val="Heading2"/>
      </w:pPr>
      <w:r>
        <w:t xml:space="preserve">Scene 6 —</w:t>
      </w:r>
      <w:r>
        <w:t xml:space="preserve"> </w:t>
      </w:r>
      <w:r>
        <w:t xml:space="preserve">“</w:t>
      </w:r>
      <w:r>
        <w:t xml:space="preserve">Go-live and clean closure</w:t>
      </w:r>
      <w:r>
        <w:t xml:space="preserve">”</w:t>
      </w:r>
      <w:r>
        <w:t xml:space="preserve"> </w:t>
      </w:r>
      <w:r>
        <w:t xml:space="preserve">(1.5 min)</w:t>
      </w:r>
    </w:p>
    <w:p>
      <w:pPr>
        <w:pStyle w:val="FirstParagraph"/>
      </w:pPr>
      <w:r>
        <w:rPr>
          <w:bCs/>
          <w:b/>
        </w:rPr>
        <w:t xml:space="preserve">Where:</w:t>
      </w:r>
      <w:r>
        <w:t xml:space="preserve"> </w:t>
      </w:r>
      <w:r>
        <w:t xml:space="preserve">ESG Portal → Close phase stages + Lessons Learned</w:t>
      </w:r>
    </w:p>
    <w:p>
      <w:pPr>
        <w:pStyle w:val="BlockText"/>
      </w:pPr>
      <w:r>
        <w:rPr>
          <w:iCs/>
          <w:i/>
        </w:rPr>
        <w:t xml:space="preserve">“</w:t>
      </w:r>
      <w:r>
        <w:rPr>
          <w:iCs/>
          <w:i/>
        </w:rPr>
        <w:t xml:space="preserve">When ESG Portal goes live, it doesn’t just disappear off a list. It runs the Close phase — Business Closure, Operational Handover, Financial Closure, PMO Closure — and lessons-learned are mandatory before it can fully close.</w:t>
      </w:r>
      <w:r>
        <w:rPr>
          <w:iCs/>
          <w:i/>
        </w:rPr>
        <w:t xml:space="preserve">”</w:t>
      </w:r>
    </w:p>
    <w:p>
      <w:pPr>
        <w:pStyle w:val="FirstParagraph"/>
      </w:pPr>
      <w:r>
        <w:rPr>
          <w:bCs/>
          <w:b/>
        </w:rPr>
        <w:t xml:space="preserve">Land it:</w:t>
      </w:r>
      <w:r>
        <w:t xml:space="preserve"> </w:t>
      </w:r>
      <w:r>
        <w:rPr>
          <w:iCs/>
          <w:i/>
        </w:rPr>
        <w:t xml:space="preserve">“</w:t>
      </w:r>
      <w:r>
        <w:rPr>
          <w:iCs/>
          <w:i/>
        </w:rPr>
        <w:t xml:space="preserve">Knowledge gets captured by design, not by hoping someone writes it down.</w:t>
      </w:r>
      <w:r>
        <w:rPr>
          <w:iCs/>
          <w:i/>
        </w:rPr>
        <w:t xml:space="preserve">”</w:t>
      </w:r>
    </w:p>
    <w:p>
      <w:r>
        <w:pict>
          <v:rect style="width:0;height:1.5pt" o:hralign="center" o:hrstd="t" o:hr="t"/>
        </w:pict>
      </w:r>
    </w:p>
    <w:bookmarkEnd w:id="25"/>
    <w:bookmarkStart w:id="26" w:name="X263c31de29ba617e0c8667a7fb79be6d59052e5"/>
    <w:p>
      <w:pPr>
        <w:pStyle w:val="Heading2"/>
      </w:pPr>
      <w:r>
        <w:t xml:space="preserve">Scene 7 —</w:t>
      </w:r>
      <w:r>
        <w:t xml:space="preserve"> </w:t>
      </w:r>
      <w:r>
        <w:t xml:space="preserve">“</w:t>
      </w:r>
      <w:r>
        <w:t xml:space="preserve">And anyone can just ask</w:t>
      </w:r>
      <w:r>
        <w:t xml:space="preserve">”</w:t>
      </w:r>
      <w:r>
        <w:t xml:space="preserve"> </w:t>
      </w:r>
      <w:r>
        <w:t xml:space="preserve">(2 min, the finale)</w:t>
      </w:r>
    </w:p>
    <w:p>
      <w:pPr>
        <w:pStyle w:val="FirstParagraph"/>
      </w:pPr>
      <w:r>
        <w:rPr>
          <w:bCs/>
          <w:b/>
        </w:rPr>
        <w:t xml:space="preserve">Where:</w:t>
      </w:r>
      <w:r>
        <w:t xml:space="preserve"> </w:t>
      </w:r>
      <w:r>
        <w:rPr>
          <w:bCs/>
          <w:b/>
        </w:rPr>
        <w:t xml:space="preserve">Ask NYRA</w:t>
      </w:r>
      <w:r>
        <w:t xml:space="preserve"> </w:t>
      </w:r>
      <w:r>
        <w:t xml:space="preserve">(top header)</w:t>
      </w:r>
    </w:p>
    <w:p>
      <w:pPr>
        <w:pStyle w:val="BlockText"/>
      </w:pPr>
      <w:r>
        <w:rPr>
          <w:iCs/>
          <w:i/>
        </w:rPr>
        <w:t xml:space="preserve">“</w:t>
      </w:r>
      <w:r>
        <w:rPr>
          <w:iCs/>
          <w:i/>
        </w:rPr>
        <w:t xml:space="preserve">Everything I just walked through is live data. So now, instead of clicking, watch me just ask.</w:t>
      </w:r>
      <w:r>
        <w:rPr>
          <w:iCs/>
          <w:i/>
        </w:rPr>
        <w:t xml:space="preserve">”</w:t>
      </w:r>
    </w:p>
    <w:p>
      <w:pPr>
        <w:pStyle w:val="FirstParagraph"/>
      </w:pPr>
      <w:r>
        <w:t xml:space="preserve">Type live:</w:t>
      </w:r>
    </w:p>
    <w:p>
      <w:pPr>
        <w:numPr>
          <w:ilvl w:val="0"/>
          <w:numId w:val="1006"/>
        </w:numPr>
        <w:pStyle w:val="Compact"/>
      </w:pPr>
      <w:r>
        <w:rPr>
          <w:iCs/>
          <w:i/>
        </w:rPr>
        <w:t xml:space="preserve">“</w:t>
      </w:r>
      <w:r>
        <w:rPr>
          <w:iCs/>
          <w:i/>
        </w:rPr>
        <w:t xml:space="preserve">What stage is the ESG Portal project in?</w:t>
      </w:r>
      <w:r>
        <w:rPr>
          <w:iCs/>
          <w:i/>
        </w:rPr>
        <w:t xml:space="preserve">”</w:t>
      </w:r>
    </w:p>
    <w:p>
      <w:pPr>
        <w:numPr>
          <w:ilvl w:val="0"/>
          <w:numId w:val="1006"/>
        </w:numPr>
        <w:pStyle w:val="Compact"/>
      </w:pPr>
      <w:r>
        <w:rPr>
          <w:iCs/>
          <w:i/>
        </w:rPr>
        <w:t xml:space="preserve">“</w:t>
      </w:r>
      <w:r>
        <w:rPr>
          <w:iCs/>
          <w:i/>
        </w:rPr>
        <w:t xml:space="preserve">What’s overdue on ESG Portal?</w:t>
      </w:r>
      <w:r>
        <w:rPr>
          <w:iCs/>
          <w:i/>
        </w:rPr>
        <w:t xml:space="preserve">”</w:t>
      </w:r>
    </w:p>
    <w:p>
      <w:pPr>
        <w:numPr>
          <w:ilvl w:val="0"/>
          <w:numId w:val="1006"/>
        </w:numPr>
        <w:pStyle w:val="Compact"/>
      </w:pPr>
      <w:r>
        <w:rPr>
          <w:iCs/>
          <w:i/>
        </w:rPr>
        <w:t xml:space="preserve">“</w:t>
      </w:r>
      <w:r>
        <w:rPr>
          <w:iCs/>
          <w:i/>
        </w:rPr>
        <w:t xml:space="preserve">Which projects are amber or red?</w:t>
      </w:r>
      <w:r>
        <w:rPr>
          <w:iCs/>
          <w:i/>
        </w:rPr>
        <w:t xml:space="preserve">”</w:t>
      </w:r>
    </w:p>
    <w:p>
      <w:pPr>
        <w:pStyle w:val="FirstParagraph"/>
      </w:pPr>
      <w:r>
        <w:t xml:space="preserve">Then:</w:t>
      </w:r>
    </w:p>
    <w:p>
      <w:pPr>
        <w:pStyle w:val="BlockText"/>
      </w:pPr>
      <w:r>
        <w:rPr>
          <w:iCs/>
          <w:i/>
        </w:rPr>
        <w:t xml:space="preserve">“</w:t>
      </w:r>
      <w:r>
        <w:rPr>
          <w:iCs/>
          <w:i/>
        </w:rPr>
        <w:t xml:space="preserve">Plain English, answered in seconds from live data. It never guesses — if the data isn’t there it tells me — and it shows the exact query it ran. Read-only, HR data hard-walled off, fully audited. Same AI analyst that runs in the CXO Central Command — one consistent AI layer across all our leadership tools.</w:t>
      </w:r>
      <w:r>
        <w:rPr>
          <w:iCs/>
          <w:i/>
        </w:rPr>
        <w:t xml:space="preserve">”</w:t>
      </w:r>
    </w:p>
    <w:p>
      <w:pPr>
        <w:pStyle w:val="FirstParagraph"/>
      </w:pPr>
      <w:r>
        <w:rPr>
          <w:bCs/>
          <w:b/>
        </w:rPr>
        <w:t xml:space="preserve">Land it:</w:t>
      </w:r>
      <w:r>
        <w:t xml:space="preserve"> </w:t>
      </w:r>
      <w:r>
        <w:rPr>
          <w:iCs/>
          <w:i/>
        </w:rPr>
        <w:t xml:space="preserve">“</w:t>
      </w:r>
      <w:r>
        <w:rPr>
          <w:iCs/>
          <w:i/>
        </w:rPr>
        <w:t xml:space="preserve">A 30-minute analyst request just became a 5-second question.</w:t>
      </w:r>
      <w:r>
        <w:rPr>
          <w:iCs/>
          <w:i/>
        </w:rPr>
        <w:t xml:space="preserve">”</w:t>
      </w:r>
    </w:p>
    <w:p>
      <w:r>
        <w:pict>
          <v:rect style="width:0;height:1.5pt" o:hralign="center" o:hrstd="t" o:hr="t"/>
        </w:pict>
      </w:r>
    </w:p>
    <w:bookmarkEnd w:id="26"/>
    <w:bookmarkStart w:id="27" w:name="the-close-ask-for-the-pilot"/>
    <w:p>
      <w:pPr>
        <w:pStyle w:val="Heading2"/>
      </w:pPr>
      <w:r>
        <w:t xml:space="preserve">The close (ask for the pilot)</w:t>
      </w:r>
    </w:p>
    <w:p>
      <w:pPr>
        <w:pStyle w:val="BlockText"/>
      </w:pPr>
      <w:r>
        <w:rPr>
          <w:iCs/>
          <w:i/>
        </w:rPr>
        <w:t xml:space="preserve">“</w:t>
      </w:r>
      <w:r>
        <w:rPr>
          <w:iCs/>
          <w:i/>
        </w:rPr>
        <w:t xml:space="preserve">That’s one project — ESG Portal — from a demand someone typed, through governed approval, sealed sourcing, team execution, automatic escalation, and clean closure, with an AI analyst on top. It’s not a concept; it’s running live on 36 real projects today. I’d like to put your most important active program through Project Hub for 30 days and compare the reporting and governance effort against how we do it now. Which project should we start with?</w:t>
      </w:r>
      <w:r>
        <w:rPr>
          <w:iCs/>
          <w:i/>
        </w:rPr>
        <w:t xml:space="preserve">”</w:t>
      </w:r>
    </w:p>
    <w:p>
      <w:r>
        <w:pict>
          <v:rect style="width:0;height:1.5pt" o:hralign="center" o:hrstd="t" o:hr="t"/>
        </w:pict>
      </w:r>
    </w:p>
    <w:p>
      <w:pPr>
        <w:pStyle w:val="FirstParagraph"/>
      </w:pPr>
      <w:r>
        <w:rPr>
          <w:bCs/>
          <w:b/>
        </w:rPr>
        <w:t xml:space="preserve">Timing:</w:t>
      </w:r>
      <w:r>
        <w:t xml:space="preserve"> </w:t>
      </w:r>
      <w:r>
        <w:t xml:space="preserve">~18 min. If you only have 8 min, run</w:t>
      </w:r>
      <w:r>
        <w:t xml:space="preserve"> </w:t>
      </w:r>
      <w:r>
        <w:rPr>
          <w:bCs/>
          <w:b/>
        </w:rPr>
        <w:t xml:space="preserve">Scenes 2 (governance gate) → 4 (WBS rollup) → 7 (NYRA)</w:t>
      </w:r>
      <w:r>
        <w:t xml:space="preserve"> </w:t>
      </w:r>
      <w:r>
        <w:t xml:space="preserve">— those three are the whole story.</w:t>
      </w:r>
    </w:p>
    <w:p>
      <w:pPr>
        <w:pStyle w:val="BodyText"/>
      </w:pPr>
      <w:r>
        <w:rPr>
          <w:bCs/>
          <w:b/>
        </w:rPr>
        <w:t xml:space="preserve">Pre-demo checklist:</w:t>
      </w:r>
      <w:r>
        <w:t xml:space="preserve"> </w:t>
      </w:r>
      <w:r>
        <w:t xml:space="preserve">confirm sign-in works (</w:t>
      </w:r>
      <w:r>
        <w:rPr>
          <w:rStyle w:val="VerbatimChar"/>
        </w:rPr>
        <w:t xml:space="preserve">access_pmo</w:t>
      </w:r>
      <w:r>
        <w:t xml:space="preserve"> </w:t>
      </w:r>
      <w:r>
        <w:t xml:space="preserve">flag) · ESG Portal has a populated charter, WBS and sourcing event · pre-test the 3 NYRA questions once so they land cleanly live.</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2026-06-04T07:21:21Z</dcterms:created>
  <dcterms:modified xsi:type="dcterms:W3CDTF">2026-06-04T07:21:21Z</dcterms:modified>
</cp:coreProperties>
</file>

<file path=docProps/custom.xml><?xml version="1.0" encoding="utf-8"?>
<Properties xmlns="http://schemas.openxmlformats.org/officeDocument/2006/custom-properties" xmlns:vt="http://schemas.openxmlformats.org/officeDocument/2006/docPropsVTypes"/>
</file>