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8408bd6b7884605f3efcb6957364b0dcc35a81"/>
    <w:p>
      <w:pPr>
        <w:pStyle w:val="Heading1"/>
      </w:pPr>
      <w:r>
        <w:t xml:space="preserve">Project Hub (PMO) — Executive Product Summary</w:t>
      </w:r>
    </w:p>
    <w:p>
      <w:pPr>
        <w:pStyle w:val="FirstParagraph"/>
      </w:pPr>
      <w:r>
        <w:rPr>
          <w:bCs/>
          <w:b/>
        </w:rPr>
        <w:t xml:space="preserve">Granules AI‑Powered Platform · 3 June 2026</w:t>
      </w:r>
    </w:p>
    <w:p>
      <w:r>
        <w:pict>
          <v:rect style="width:0;height:1.5pt" o:hralign="center" o:hrstd="t" o:hr="t"/>
        </w:pict>
      </w:r>
    </w:p>
    <w:bookmarkStart w:id="20" w:name="X2c204c330ce3230c3a965fd2da1f38a0b6c5574"/>
    <w:p>
      <w:pPr>
        <w:pStyle w:val="Heading2"/>
      </w:pPr>
      <w:r>
        <w:t xml:space="preserve">1. What it is</w:t>
      </w:r>
    </w:p>
    <w:p>
      <w:pPr>
        <w:pStyle w:val="FirstParagraph"/>
      </w:pPr>
      <w:r>
        <w:rPr>
          <w:bCs/>
          <w:b/>
        </w:rPr>
        <w:t xml:space="preserve">Project Hub</w:t>
      </w:r>
      <w:r>
        <w:t xml:space="preserve"> </w:t>
      </w:r>
      <w:r>
        <w:t xml:space="preserve">is the enterprise</w:t>
      </w:r>
      <w:r>
        <w:t xml:space="preserve"> </w:t>
      </w:r>
      <w:r>
        <w:rPr>
          <w:bCs/>
          <w:b/>
        </w:rPr>
        <w:t xml:space="preserve">Project &amp; Portfolio Management (PPM)</w:t>
      </w:r>
      <w:r>
        <w:t xml:space="preserve"> </w:t>
      </w:r>
      <w:r>
        <w:t xml:space="preserve">platform for Granules. It runs the entire project journey end‑to‑end — from demand intake → procurement → execution → go‑live → closure — under hard governance gates, with an approval engine, automatic escalations, full procurement/sourcing, and live portfolio reporting.</w:t>
      </w:r>
    </w:p>
    <w:p>
      <w:pPr>
        <w:pStyle w:val="BodyText"/>
      </w:pPr>
      <w:r>
        <w:t xml:space="preserve">What makes it different: all of that enterprise governance is wrapped in a</w:t>
      </w:r>
      <w:r>
        <w:t xml:space="preserve"> </w:t>
      </w:r>
      <w:r>
        <w:rPr>
          <w:bCs/>
          <w:b/>
        </w:rPr>
        <w:t xml:space="preserve">Monday.com‑style, modern work‑management experience</w:t>
      </w:r>
      <w:r>
        <w:t xml:space="preserve"> </w:t>
      </w:r>
      <w:r>
        <w:t xml:space="preserve">(drag‑and‑drop boards, Gantt timelines, calendars, work‑breakdown trees) — and now an</w:t>
      </w:r>
      <w:r>
        <w:t xml:space="preserve"> </w:t>
      </w:r>
      <w:r>
        <w:rPr>
          <w:bCs/>
          <w:b/>
        </w:rPr>
        <w:t xml:space="preserve">embedded AI analyst, NYRA</w:t>
      </w:r>
      <w:r>
        <w:t xml:space="preserve">, that answers questions about the portfolio in plain English.</w:t>
      </w:r>
    </w:p>
    <w:p>
      <w:pPr>
        <w:pStyle w:val="BlockText"/>
      </w:pPr>
      <w:r>
        <w:rPr>
          <w:bCs/>
          <w:b/>
        </w:rPr>
        <w:t xml:space="preserve">One sentence for the boss:</w:t>
      </w:r>
      <w:r>
        <w:t xml:space="preserve"> </w:t>
      </w:r>
      <w:r>
        <w:t xml:space="preserve">Project Hub gives Granules a single, governed system of record for every project — as easy to use as Monday.com, as rigorous as a formal PMO, and now AI‑assisted.</w:t>
      </w:r>
    </w:p>
    <w:p>
      <w:r>
        <w:pict>
          <v:rect style="width:0;height:1.5pt" o:hralign="center" o:hrstd="t" o:hr="t"/>
        </w:pict>
      </w:r>
    </w:p>
    <w:bookmarkEnd w:id="20"/>
    <w:bookmarkStart w:id="21" w:name="X0e86d539f3ab3728db10e9bdad5e99415bf4f89"/>
    <w:p>
      <w:pPr>
        <w:pStyle w:val="Heading2"/>
      </w:pPr>
      <w:r>
        <w:t xml:space="preserve">2. Why it matters (business value)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Project Hub delivers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you can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cannot skip stages or controls — every gate (budget approved, URS signed, UAT passed, etc.) is enforced by the system, not by memory or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rolls up automatically from subtask → task → milestone → project → portfolio. Leadership sees real, live status — not hand‑built slides.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Faster, cleaner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Charters, investment authorizations and change requests flow through structured, auditable approval chains instead of email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slips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escalations chase overdue stages up the chain; AI nudges flag what needs attention.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Procurement done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sourcing (RFI/RFP/RFQ) with sealed, encrypted bids and a dedicated external vendor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Decisions in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NYRA answers portfolio questions instantly from live data, with the supporting numbers always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Connected, not siloed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Two‑way Jira sync, Teams meeting capture, and SAP PR/PO integration.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1" w:name="Xa007485f89d1933add818b328424b56641d58cf"/>
    <w:p>
      <w:pPr>
        <w:pStyle w:val="Heading2"/>
      </w:pPr>
      <w:r>
        <w:t xml:space="preserve">3. Core capabilities</w:t>
      </w:r>
    </w:p>
    <w:bookmarkStart w:id="22" w:name="Xbe442304f5f0fe38f8205889cdd1c2d05ee3262"/>
    <w:p>
      <w:pPr>
        <w:pStyle w:val="Heading3"/>
      </w:pPr>
      <w:r>
        <w:t xml:space="preserve">A. Governed project lifecycle (the backbone)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phases, 13 stages</w:t>
      </w:r>
      <w:r>
        <w:t xml:space="preserve"> </w:t>
      </w:r>
      <w:r>
        <w:t xml:space="preserve">— the canonical Granules project life cycle: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Plan</w:t>
      </w:r>
      <w:r>
        <w:t xml:space="preserve"> </w:t>
      </w:r>
      <w:r>
        <w:t xml:space="preserve">— Business Requirements · Request for Proposal · Vendor Evaluation &amp; Finalization · Solution Design · Project Plan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t xml:space="preserve">— Development &amp; Configuration · System Testing &amp; Validation · Deployment Readiness · Production Deployment &amp; Go‑Live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Close</w:t>
      </w:r>
      <w:r>
        <w:t xml:space="preserve"> </w:t>
      </w:r>
      <w:r>
        <w:t xml:space="preserve">— Business Closure · Operational Handover · Financial Closure · PMO Closure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Adapts to project type</w:t>
      </w:r>
      <w:r>
        <w:t xml:space="preserve"> </w:t>
      </w:r>
      <w:r>
        <w:t xml:space="preserve">— vendor‑led projects run the full sourcing path; internal projects skip the vendor stages.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 governance gates</w:t>
      </w:r>
      <w:r>
        <w:t xml:space="preserve">: each stage has a blocking checklist, required documents, and authorised roles. A project can only advance when every condition is met — enforced on the server, never bypassable from the UI.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Sub‑gates</w:t>
      </w:r>
      <w:r>
        <w:t xml:space="preserve"> </w:t>
      </w:r>
      <w:r>
        <w:t xml:space="preserve">for Business Case and URS approval, test/defect closure, and mandatory lessons‑learned at closure.</w:t>
      </w:r>
    </w:p>
    <w:bookmarkEnd w:id="22"/>
    <w:bookmarkStart w:id="23" w:name="b-mondaycomstyle-work-management"/>
    <w:p>
      <w:pPr>
        <w:pStyle w:val="Heading3"/>
      </w:pPr>
      <w:r>
        <w:t xml:space="preserve">B. Monday.com‑style work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Work‑Breakdown Structure tree</w:t>
      </w:r>
      <w:r>
        <w:t xml:space="preserve"> </w:t>
      </w:r>
      <w:r>
        <w:t xml:space="preserve">(Stage → Milestone → Task → Subtask) with drag‑and‑drop reparenting, inline editing, and animated expand/collapse.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Five interchangeable views on the same data</w:t>
      </w:r>
      <w:r>
        <w:t xml:space="preserve">: Tree (WBS), Kanban Board, Table/Grid, Gantt Timeline, and Calendar.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Automatic progress rollups</w:t>
      </w:r>
      <w:r>
        <w:t xml:space="preserve"> </w:t>
      </w:r>
      <w:r>
        <w:t xml:space="preserve">— update one subtask and the whole tree, project, and portfolio reflect it instantly.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RASCI ownership matrix</w:t>
      </w:r>
      <w:r>
        <w:t xml:space="preserve"> </w:t>
      </w:r>
      <w:r>
        <w:t xml:space="preserve">(Responsible / Accountable / Support / Consulted / Informed) with over‑allocation warnings and CSV export.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 logging, comments, resource allocation, and reusable project templates.</w:t>
      </w:r>
    </w:p>
    <w:bookmarkEnd w:id="23"/>
    <w:bookmarkStart w:id="24" w:name="c-critical-path--dependencies"/>
    <w:p>
      <w:pPr>
        <w:pStyle w:val="Heading3"/>
      </w:pPr>
      <w:r>
        <w:t xml:space="preserve">C. Critical Path &amp; dependencies</w:t>
      </w:r>
    </w:p>
    <w:p>
      <w:pPr>
        <w:numPr>
          <w:ilvl w:val="0"/>
          <w:numId w:val="1004"/>
        </w:numPr>
        <w:pStyle w:val="Compact"/>
      </w:pPr>
      <w:r>
        <w:t xml:space="preserve">True</w:t>
      </w:r>
      <w:r>
        <w:t xml:space="preserve"> </w:t>
      </w:r>
      <w:r>
        <w:rPr>
          <w:bCs/>
          <w:b/>
        </w:rPr>
        <w:t xml:space="preserve">Critical Path Method (CPM)</w:t>
      </w:r>
      <w:r>
        <w:t xml:space="preserve"> </w:t>
      </w:r>
      <w:r>
        <w:t xml:space="preserve">engine — forward/backward pass, slack/float calculation, automatic critical‑task flagging, and</w:t>
      </w:r>
      <w:r>
        <w:t xml:space="preserve"> </w:t>
      </w:r>
      <w:r>
        <w:rPr>
          <w:bCs/>
          <w:b/>
        </w:rPr>
        <w:t xml:space="preserve">cycle‑safe</w:t>
      </w:r>
      <w:r>
        <w:t xml:space="preserve"> </w:t>
      </w:r>
      <w:r>
        <w:t xml:space="preserve">dependency validation.</w:t>
      </w:r>
    </w:p>
    <w:p>
      <w:pPr>
        <w:numPr>
          <w:ilvl w:val="0"/>
          <w:numId w:val="1004"/>
        </w:numPr>
        <w:pStyle w:val="Compact"/>
      </w:pPr>
      <w:r>
        <w:t xml:space="preserve">Task dependencies (in‑project and cross‑project) editable directly from the task panel.</w:t>
      </w:r>
    </w:p>
    <w:p>
      <w:pPr>
        <w:numPr>
          <w:ilvl w:val="0"/>
          <w:numId w:val="1004"/>
        </w:numPr>
        <w:pStyle w:val="Compact"/>
      </w:pPr>
      <w:r>
        <w:t xml:space="preserve">A separate</w:t>
      </w:r>
      <w:r>
        <w:t xml:space="preserve"> </w:t>
      </w:r>
      <w:r>
        <w:rPr>
          <w:bCs/>
          <w:b/>
        </w:rPr>
        <w:t xml:space="preserve">governance critical path</w:t>
      </w:r>
      <w:r>
        <w:t xml:space="preserve"> </w:t>
      </w:r>
      <w:r>
        <w:t xml:space="preserve">highlights which lifecycle stage is blocking, who owns it, and how overdue it is — feeding the escalation engine.</w:t>
      </w:r>
    </w:p>
    <w:bookmarkEnd w:id="24"/>
    <w:bookmarkStart w:id="25" w:name="d-portfolio--executive-dashboards"/>
    <w:p>
      <w:pPr>
        <w:pStyle w:val="Heading3"/>
      </w:pPr>
      <w:r>
        <w:t xml:space="preserve">D. Portfolio &amp; executive dashboards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Role‑specific dashboards</w:t>
      </w:r>
      <w:r>
        <w:t xml:space="preserve"> </w:t>
      </w:r>
      <w:r>
        <w:t xml:space="preserve">for Executives, Functional Heads, Project Managers, the Portfolio office, and general users.</w:t>
      </w:r>
    </w:p>
    <w:p>
      <w:pPr>
        <w:numPr>
          <w:ilvl w:val="0"/>
          <w:numId w:val="1005"/>
        </w:numPr>
        <w:pStyle w:val="Compact"/>
      </w:pPr>
      <w:r>
        <w:t xml:space="preserve">Portfolio rollups with</w:t>
      </w:r>
      <w:r>
        <w:t xml:space="preserve"> </w:t>
      </w:r>
      <w:r>
        <w:rPr>
          <w:bCs/>
          <w:b/>
        </w:rPr>
        <w:t xml:space="preserve">RAG (Red/Amber/Green) distribution, at‑risk and delayed counts</w:t>
      </w:r>
      <w:r>
        <w:t xml:space="preserve">, and average progress (closed projects excluded).</w:t>
      </w:r>
    </w:p>
    <w:bookmarkEnd w:id="25"/>
    <w:bookmarkStart w:id="26" w:name="e-approvals--change-control"/>
    <w:p>
      <w:pPr>
        <w:pStyle w:val="Heading3"/>
      </w:pPr>
      <w:r>
        <w:t xml:space="preserve">E. Approvals &amp; change control</w:t>
      </w:r>
    </w:p>
    <w:p>
      <w:pPr>
        <w:numPr>
          <w:ilvl w:val="0"/>
          <w:numId w:val="1006"/>
        </w:numPr>
        <w:pStyle w:val="Compact"/>
      </w:pPr>
      <w:r>
        <w:t xml:space="preserve">Multi‑stage</w:t>
      </w:r>
      <w:r>
        <w:t xml:space="preserve"> </w:t>
      </w:r>
      <w:r>
        <w:rPr>
          <w:bCs/>
          <w:b/>
        </w:rPr>
        <w:t xml:space="preserve">charter approvals</w:t>
      </w:r>
      <w:r>
        <w:t xml:space="preserve"> </w:t>
      </w:r>
      <w:r>
        <w:t xml:space="preserve">(parallel review → SCM → Chairman → Finance → PMO).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Change requests</w:t>
      </w:r>
      <w:r>
        <w:t xml:space="preserve"> </w:t>
      </w:r>
      <w:r>
        <w:t xml:space="preserve">snapshot baseline vs. proposed; only submitted CRs are decidable; decided CRs are locked for a clean audit trail.</w:t>
      </w:r>
    </w:p>
    <w:bookmarkEnd w:id="26"/>
    <w:bookmarkStart w:id="27" w:name="f-automated-escalations--ai-nudges"/>
    <w:p>
      <w:pPr>
        <w:pStyle w:val="Heading3"/>
      </w:pPr>
      <w:r>
        <w:t xml:space="preserve">F. Automated escalations &amp; AI nudges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Condition‑based rules</w:t>
      </w:r>
      <w:r>
        <w:t xml:space="preserve"> </w:t>
      </w:r>
      <w:r>
        <w:t xml:space="preserve">(RAG change, budget overrun, schedule slip, risk score, open issues, blocked stages) → instant in‑app alerts.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Stage escalation ladder</w:t>
      </w:r>
      <w:r>
        <w:t xml:space="preserve"> </w:t>
      </w:r>
      <w:r>
        <w:t xml:space="preserve">— overdue stages trigger tiered reminders/escalations to the right role automatically.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AI‑generated nudges</w:t>
      </w:r>
      <w:r>
        <w:t xml:space="preserve"> </w:t>
      </w:r>
      <w:r>
        <w:t xml:space="preserve">surface what each user should act on next.</w:t>
      </w:r>
    </w:p>
    <w:bookmarkEnd w:id="27"/>
    <w:bookmarkStart w:id="28" w:name="X30a0b3a2f603afa3fa4107e4e9bf2d7476e196c"/>
    <w:p>
      <w:pPr>
        <w:pStyle w:val="Heading3"/>
      </w:pPr>
      <w:r>
        <w:t xml:space="preserve">G. Procurement, sourcing (RFx) &amp; vendor management</w:t>
      </w:r>
    </w:p>
    <w:p>
      <w:pPr>
        <w:numPr>
          <w:ilvl w:val="0"/>
          <w:numId w:val="1008"/>
        </w:numPr>
        <w:pStyle w:val="Compact"/>
      </w:pPr>
      <w:r>
        <w:t xml:space="preserve">Full</w:t>
      </w:r>
      <w:r>
        <w:t xml:space="preserve"> </w:t>
      </w:r>
      <w:r>
        <w:rPr>
          <w:bCs/>
          <w:b/>
        </w:rPr>
        <w:t xml:space="preserve">RFI / RFP / RFQ / e‑auction</w:t>
      </w:r>
      <w:r>
        <w:t xml:space="preserve"> </w:t>
      </w:r>
      <w:r>
        <w:t xml:space="preserve">flow: create → invite vendors →</w:t>
      </w:r>
      <w:r>
        <w:t xml:space="preserve"> </w:t>
      </w:r>
      <w:r>
        <w:rPr>
          <w:bCs/>
          <w:b/>
        </w:rPr>
        <w:t xml:space="preserve">sealed (encrypted) bid envelopes</w:t>
      </w:r>
      <w:r>
        <w:t xml:space="preserve"> </w:t>
      </w:r>
      <w:r>
        <w:t xml:space="preserve">→ open after deadline → score → clarifications → award, with complete audit.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Vendor master</w:t>
      </w:r>
      <w:r>
        <w:t xml:space="preserve"> </w:t>
      </w:r>
      <w:r>
        <w:t xml:space="preserve">with qualification, compliance documents, KPIs, and risk events.</w:t>
      </w:r>
    </w:p>
    <w:p>
      <w:pPr>
        <w:numPr>
          <w:ilvl w:val="0"/>
          <w:numId w:val="100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dedicated external vendor portal</w:t>
      </w:r>
      <w:r>
        <w:t xml:space="preserve"> </w:t>
      </w:r>
      <w:r>
        <w:t xml:space="preserve">with its own secure OTP login (kept separate from employee access).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SAP‑synced</w:t>
      </w:r>
      <w:r>
        <w:t xml:space="preserve"> </w:t>
      </w:r>
      <w:r>
        <w:t xml:space="preserve">purchase requisitions and purchase orders.</w:t>
      </w:r>
    </w:p>
    <w:bookmarkEnd w:id="28"/>
    <w:bookmarkStart w:id="29" w:name="h-registers--knowledge"/>
    <w:p>
      <w:pPr>
        <w:pStyle w:val="Heading3"/>
      </w:pPr>
      <w:r>
        <w:t xml:space="preserve">H. Registers &amp; knowledge</w:t>
      </w:r>
    </w:p>
    <w:p>
      <w:pPr>
        <w:numPr>
          <w:ilvl w:val="0"/>
          <w:numId w:val="1009"/>
        </w:numPr>
        <w:pStyle w:val="Compact"/>
      </w:pPr>
      <w:r>
        <w:t xml:space="preserve">Risk register, issue register,</w:t>
      </w:r>
      <w:r>
        <w:t xml:space="preserve"> </w:t>
      </w:r>
      <w:r>
        <w:rPr>
          <w:bCs/>
          <w:b/>
        </w:rPr>
        <w:t xml:space="preserve">benefits realization</w:t>
      </w:r>
      <w:r>
        <w:t xml:space="preserve"> </w:t>
      </w:r>
      <w:r>
        <w:t xml:space="preserve">tracking,</w:t>
      </w:r>
      <w:r>
        <w:t xml:space="preserve"> </w:t>
      </w:r>
      <w:r>
        <w:rPr>
          <w:bCs/>
          <w:b/>
        </w:rPr>
        <w:t xml:space="preserve">lessons learned</w:t>
      </w:r>
      <w:r>
        <w:t xml:space="preserve">, document management with versioning, and an append‑only</w:t>
      </w:r>
      <w:r>
        <w:t xml:space="preserve"> </w:t>
      </w:r>
      <w:r>
        <w:rPr>
          <w:bCs/>
          <w:b/>
        </w:rPr>
        <w:t xml:space="preserve">activity audit log</w:t>
      </w:r>
      <w:r>
        <w:t xml:space="preserve">.</w:t>
      </w:r>
    </w:p>
    <w:bookmarkEnd w:id="29"/>
    <w:bookmarkStart w:id="30" w:name="i-enterprise-integrations"/>
    <w:p>
      <w:pPr>
        <w:pStyle w:val="Heading3"/>
      </w:pPr>
      <w:r>
        <w:t xml:space="preserve">I. Enterprise integrations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Jira</w:t>
      </w:r>
      <w:r>
        <w:t xml:space="preserve"> </w:t>
      </w:r>
      <w:r>
        <w:t xml:space="preserve">— two‑way task import/export (proven: 264 tasks synced from a live project).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Microsoft Teams</w:t>
      </w:r>
      <w:r>
        <w:t xml:space="preserve"> </w:t>
      </w:r>
      <w:r>
        <w:t xml:space="preserve">— meeting minutes &amp; action‑item capture.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SAP</w:t>
      </w:r>
      <w:r>
        <w:t xml:space="preserve"> </w:t>
      </w:r>
      <w:r>
        <w:t xml:space="preserve">— vendor and PR/PO synchronization.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bfcb5354e16e2221124be8ea694783c2c999f5"/>
    <w:p>
      <w:pPr>
        <w:pStyle w:val="Heading2"/>
      </w:pPr>
      <w:r>
        <w:t xml:space="preserve">4. ⭐ Highlight: Ask NYRA — the embedded AI analyst</w:t>
      </w:r>
    </w:p>
    <w:p>
      <w:pPr>
        <w:pStyle w:val="FirstParagraph"/>
      </w:pPr>
      <w:r>
        <w:t xml:space="preserve">NYRA is a conversational AI analyst built directly into Project Hub. Ask it anything about the portfolio in plain English and get an instant, accurate answer from</w:t>
      </w:r>
      <w:r>
        <w:t xml:space="preserve"> </w:t>
      </w:r>
      <w:r>
        <w:rPr>
          <w:bCs/>
          <w:b/>
        </w:rPr>
        <w:t xml:space="preserve">live data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"Which projects are amber or red?"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"How many tasks are overdue, by project?"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"Show milestones due this month."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Grounded, never guessed</w:t>
      </w:r>
      <w:r>
        <w:t xml:space="preserve"> </w:t>
      </w:r>
      <w:r>
        <w:t xml:space="preserve">— every figure comes from the live database; if the data isn't there, NYRA says so rather than inventing.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Fully transparent</w:t>
      </w:r>
      <w:r>
        <w:t xml:space="preserve"> </w:t>
      </w:r>
      <w:r>
        <w:t xml:space="preserve">— each answer includes the exact queries it ran and how many records it read.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Secure by design</w:t>
      </w:r>
      <w:r>
        <w:t xml:space="preserve"> </w:t>
      </w:r>
      <w:r>
        <w:t xml:space="preserve">— read‑only, scoped strictly to project data (sensitive HR/recruitment data in the shared database is hard‑walled off), authenticated, and auditable.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Verified live</w:t>
      </w:r>
      <w:r>
        <w:t xml:space="preserve">:</w:t>
      </w:r>
      <w:r>
        <w:t xml:space="preserve"> </w:t>
      </w:r>
      <w:r>
        <w:rPr>
          <w:iCs/>
          <w:i/>
        </w:rPr>
        <w:t xml:space="preserve">"36 projects total; 2 flagged amber or red — ~6% of the portfolio at risk,"</w:t>
      </w:r>
      <w:r>
        <w:t xml:space="preserve"> </w:t>
      </w:r>
      <w:r>
        <w:t xml:space="preserve">answered in seconds.</w:t>
      </w:r>
    </w:p>
    <w:p>
      <w:pPr>
        <w:pStyle w:val="FirstParagraph"/>
      </w:pPr>
      <w:r>
        <w:t xml:space="preserve">NYRA is the same analyst experience already running in the CXO Central Command dashboard — so Granules now has a</w:t>
      </w:r>
      <w:r>
        <w:t xml:space="preserve"> </w:t>
      </w:r>
      <w:r>
        <w:rPr>
          <w:bCs/>
          <w:b/>
        </w:rPr>
        <w:t xml:space="preserve">consistent, enterprise‑wide AI layer</w:t>
      </w:r>
      <w:r>
        <w:t xml:space="preserve"> </w:t>
      </w:r>
      <w:r>
        <w:t xml:space="preserve">across its leadership tools, not a one‑off.</w:t>
      </w:r>
    </w:p>
    <w:p>
      <w:r>
        <w:pict>
          <v:rect style="width:0;height:1.5pt" o:hralign="center" o:hrstd="t" o:hr="t"/>
        </w:pict>
      </w:r>
    </w:p>
    <w:bookmarkEnd w:id="32"/>
    <w:bookmarkStart w:id="33" w:name="Xbfc6e88100a4ae9ac00aae77918416c83c6f0af"/>
    <w:p>
      <w:pPr>
        <w:pStyle w:val="Heading2"/>
      </w:pPr>
      <w:r>
        <w:t xml:space="preserve">5. Security &amp; access control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Enterprise authentication</w:t>
      </w:r>
      <w:r>
        <w:t xml:space="preserve"> </w:t>
      </w:r>
      <w:r>
        <w:t xml:space="preserve">against the Master Employee directory; access gated by an</w:t>
      </w:r>
      <w:r>
        <w:t xml:space="preserve"> </w:t>
      </w:r>
      <w:r>
        <w:rPr>
          <w:rStyle w:val="VerbatimChar"/>
        </w:rPr>
        <w:t xml:space="preserve">access_pmo</w:t>
      </w:r>
      <w:r>
        <w:t xml:space="preserve"> </w:t>
      </w:r>
      <w:r>
        <w:t xml:space="preserve">permission flag.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10 functional roles</w:t>
      </w:r>
      <w:r>
        <w:t xml:space="preserve"> </w:t>
      </w:r>
      <w:r>
        <w:t xml:space="preserve">(Chairman, Executive Director, CFO, PMO, PM, Head of Dept, SCM, Finance, Team Member, Admin) resolved from the HR directory, enforcing who can advance stages, approve, and administer.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External vendors</w:t>
      </w:r>
      <w:r>
        <w:t xml:space="preserve"> </w:t>
      </w:r>
      <w:r>
        <w:t xml:space="preserve">authenticate through a completely separate, OTP‑secured portal.</w:t>
      </w:r>
    </w:p>
    <w:p>
      <w:pPr>
        <w:numPr>
          <w:ilvl w:val="0"/>
          <w:numId w:val="1012"/>
        </w:numPr>
        <w:pStyle w:val="Compact"/>
      </w:pPr>
      <w:r>
        <w:t xml:space="preserve">Every approval, gate advance, and data change is</w:t>
      </w:r>
      <w:r>
        <w:t xml:space="preserve"> </w:t>
      </w:r>
      <w:r>
        <w:rPr>
          <w:bCs/>
          <w:b/>
        </w:rPr>
        <w:t xml:space="preserve">logged for audit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ef337af6e536fb0c29373670d1391aefaec7b52"/>
    <w:p>
      <w:pPr>
        <w:pStyle w:val="Heading2"/>
      </w:pPr>
      <w:r>
        <w:t xml:space="preserve">6. Technology &amp; scale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Modern stack:</w:t>
      </w:r>
      <w:r>
        <w:t xml:space="preserve"> </w:t>
      </w:r>
      <w:r>
        <w:t xml:space="preserve">React + TypeScript + Vite front end; Node/Express API; PostgreSQL (Supabase) data layer.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Depth of model:</w:t>
      </w:r>
      <w:r>
        <w:t xml:space="preserve"> </w:t>
      </w:r>
      <w:r>
        <w:rPr>
          <w:bCs/>
          <w:b/>
        </w:rPr>
        <w:t xml:space="preserve">63 dedicated data tables</w:t>
      </w:r>
      <w:r>
        <w:t xml:space="preserve"> </w:t>
      </w:r>
      <w:r>
        <w:t xml:space="preserve">spanning projects, work, governance, procurement, and reporting.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Live footprint today:</w:t>
      </w:r>
      <w:r>
        <w:t xml:space="preserve"> </w:t>
      </w:r>
      <w:r>
        <w:t xml:space="preserve">36 active projects, ~484 milestones, ~395 tasks, 32 charters across 2 portfolios — real operational data, not a demo.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powered by Anthropic's Claude models via a secure, governed integration shared across the platform.</w:t>
      </w:r>
    </w:p>
    <w:p>
      <w:r>
        <w:pict>
          <v:rect style="width:0;height:1.5pt" o:hralign="center" o:hrstd="t" o:hr="t"/>
        </w:pict>
      </w:r>
    </w:p>
    <w:bookmarkEnd w:id="34"/>
    <w:bookmarkStart w:id="36" w:name="Xfcc7695e214abba28fcbb3a8f688bd704f5abb9"/>
    <w:p>
      <w:pPr>
        <w:pStyle w:val="Heading2"/>
      </w:pPr>
      <w:r>
        <w:t xml:space="preserve">7. Status</w:t>
      </w:r>
    </w:p>
    <w:p>
      <w:pPr>
        <w:pStyle w:val="FirstParagraph"/>
      </w:pPr>
      <w:r>
        <w:rPr>
          <w:bCs/>
          <w:b/>
        </w:rPr>
        <w:t xml:space="preserve">Live and in active use</w:t>
      </w:r>
      <w:r>
        <w:t xml:space="preserve"> </w:t>
      </w:r>
      <w:r>
        <w:t xml:space="preserve">on the Granules network. The platform is feature‑complete across the lifecycle, work‑management, approvals, escalation, procurement and reporting domains, with the</w:t>
      </w:r>
      <w:r>
        <w:t xml:space="preserve"> </w:t>
      </w:r>
      <w:r>
        <w:rPr>
          <w:bCs/>
          <w:b/>
        </w:rPr>
        <w:t xml:space="preserve">Ask NYRA AI analyst now deployed and verified end‑to‑end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hyperlink r:id="rId35">
        <w:r>
          <w:rPr>
            <w:rStyle w:val="Hyperlink"/>
          </w:rPr>
          <w:t xml:space="preserve">http://172.30.101.2:5182</w:t>
        </w:r>
      </w:hyperlink>
      <w:r>
        <w:t xml:space="preserve"> </w:t>
      </w:r>
      <w:r>
        <w:t xml:space="preserve">→ sign in → the full Project Hub, with</w:t>
      </w:r>
      <w:r>
        <w:t xml:space="preserve"> </w:t>
      </w:r>
      <w:r>
        <w:rPr>
          <w:bCs/>
          <w:b/>
        </w:rPr>
        <w:t xml:space="preserve">Ask NYRA</w:t>
      </w:r>
      <w:r>
        <w:t xml:space="preserve"> </w:t>
      </w:r>
      <w:r>
        <w:t xml:space="preserve">available from the top header on every page.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for leadership review — Granules AI‑Powered Platform, Project Hub (PMO).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172.30.101.2:51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://172.30.101.2:51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2026-06-03T08:51:15Z</dcterms:created>
  <dcterms:modified xsi:type="dcterms:W3CDTF">2026-06-03T08:51:15Z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