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96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5"/>
      </w:tblGrid>
      <w:tr w:rsidR="00762577" w:rsidRPr="00762577" w14:paraId="3711B371" w14:textId="77777777" w:rsidTr="00065FD6">
        <w:trPr>
          <w:trHeight w:val="324"/>
          <w:tblHeader/>
          <w:jc w:val="center"/>
        </w:trPr>
        <w:tc>
          <w:tcPr>
            <w:tcW w:w="1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37F72A" w14:textId="77777777" w:rsidR="00762577" w:rsidRPr="00762577" w:rsidRDefault="00762577" w:rsidP="002848E1">
            <w:pPr>
              <w:jc w:val="center"/>
              <w:rPr>
                <w:b/>
                <w:bCs/>
                <w:sz w:val="22"/>
                <w:szCs w:val="22"/>
              </w:rPr>
            </w:pPr>
            <w:r w:rsidRPr="00762577">
              <w:rPr>
                <w:b/>
                <w:bCs/>
                <w:sz w:val="22"/>
                <w:szCs w:val="22"/>
              </w:rPr>
              <w:t>Nyree Hinton</w:t>
            </w:r>
          </w:p>
        </w:tc>
      </w:tr>
      <w:tr w:rsidR="002848E1" w:rsidRPr="00F64196" w14:paraId="5EBC9C3D" w14:textId="77777777" w:rsidTr="009B3A04">
        <w:trPr>
          <w:trHeight w:val="370"/>
          <w:jc w:val="center"/>
        </w:trPr>
        <w:tc>
          <w:tcPr>
            <w:tcW w:w="11965" w:type="dxa"/>
            <w:tcBorders>
              <w:top w:val="single" w:sz="4" w:space="0" w:color="auto"/>
              <w:left w:val="single" w:sz="6" w:space="0" w:color="auto"/>
              <w:bottom w:val="single" w:sz="4" w:space="0" w:color="FFFFFF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</w:tcPr>
          <w:p w14:paraId="629A3A8D" w14:textId="6CD07536" w:rsidR="002848E1" w:rsidRDefault="002848E1" w:rsidP="009B3A04">
            <w:pPr>
              <w:spacing w:after="120"/>
              <w:jc w:val="center"/>
              <w:rPr>
                <w:sz w:val="22"/>
                <w:szCs w:val="22"/>
              </w:rPr>
            </w:pPr>
            <w:r w:rsidRPr="00F64196">
              <w:rPr>
                <w:sz w:val="22"/>
                <w:szCs w:val="22"/>
              </w:rPr>
              <w:t>Product Manager &amp; Data Specialist</w:t>
            </w:r>
          </w:p>
          <w:p w14:paraId="65A3FA0C" w14:textId="269EDA21" w:rsidR="00D73E83" w:rsidRPr="00F64196" w:rsidRDefault="00D73E83" w:rsidP="009B3A04">
            <w:pPr>
              <w:jc w:val="center"/>
              <w:rPr>
                <w:sz w:val="22"/>
                <w:szCs w:val="22"/>
              </w:rPr>
            </w:pPr>
            <w:r w:rsidRPr="00D73E83">
              <w:rPr>
                <w:sz w:val="22"/>
                <w:szCs w:val="22"/>
              </w:rPr>
              <w:t xml:space="preserve">Los Angeles, CA • </w:t>
            </w:r>
            <w:hyperlink r:id="rId8" w:history="1">
              <w:r w:rsidRPr="00854F96">
                <w:rPr>
                  <w:rStyle w:val="Hyperlink"/>
                  <w:sz w:val="22"/>
                  <w:szCs w:val="22"/>
                </w:rPr>
                <w:t>nyreehinton@gmail.com</w:t>
              </w:r>
            </w:hyperlink>
            <w:r>
              <w:rPr>
                <w:sz w:val="22"/>
                <w:szCs w:val="22"/>
              </w:rPr>
              <w:t xml:space="preserve"> </w:t>
            </w:r>
            <w:r w:rsidRPr="00D73E83">
              <w:rPr>
                <w:sz w:val="22"/>
                <w:szCs w:val="22"/>
              </w:rPr>
              <w:t xml:space="preserve">• 732-979-6264 • </w:t>
            </w:r>
            <w:r w:rsidR="009B3A04">
              <w:rPr>
                <w:sz w:val="22"/>
                <w:szCs w:val="22"/>
              </w:rPr>
              <w:t xml:space="preserve"> </w:t>
            </w:r>
            <w:hyperlink r:id="rId9" w:history="1">
              <w:r w:rsidRPr="001E7DD1">
                <w:rPr>
                  <w:rStyle w:val="Hyperlink"/>
                  <w:sz w:val="22"/>
                  <w:szCs w:val="22"/>
                </w:rPr>
                <w:t>linkedin.com/in/nyreehinto</w:t>
              </w:r>
              <w:r w:rsidR="009B3A04" w:rsidRPr="001E7DD1">
                <w:rPr>
                  <w:rStyle w:val="Hyperlink"/>
                  <w:sz w:val="22"/>
                  <w:szCs w:val="22"/>
                </w:rPr>
                <w:t>n</w:t>
              </w:r>
            </w:hyperlink>
          </w:p>
        </w:tc>
      </w:tr>
    </w:tbl>
    <w:p w14:paraId="2F90B04A" w14:textId="77777777" w:rsidR="00762577" w:rsidRPr="00762577" w:rsidRDefault="00762577" w:rsidP="00762577">
      <w:pPr>
        <w:rPr>
          <w:vanish/>
          <w:sz w:val="22"/>
          <w:szCs w:val="22"/>
        </w:rPr>
      </w:pPr>
    </w:p>
    <w:tbl>
      <w:tblPr>
        <w:tblW w:w="1196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2"/>
        <w:gridCol w:w="123"/>
        <w:gridCol w:w="5940"/>
      </w:tblGrid>
      <w:tr w:rsidR="00C034CC" w:rsidRPr="00762577" w14:paraId="10513CDB" w14:textId="77777777" w:rsidTr="00677049">
        <w:trPr>
          <w:trHeight w:val="234"/>
          <w:jc w:val="center"/>
        </w:trPr>
        <w:tc>
          <w:tcPr>
            <w:tcW w:w="6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73DB3DD" w14:textId="0440DB07" w:rsidR="00C034CC" w:rsidRPr="00762577" w:rsidRDefault="00C034CC" w:rsidP="002848E1">
            <w:pPr>
              <w:jc w:val="center"/>
              <w:rPr>
                <w:b/>
                <w:bCs/>
                <w:sz w:val="22"/>
                <w:szCs w:val="22"/>
              </w:rPr>
            </w:pPr>
            <w:r w:rsidRPr="00C034CC">
              <w:rPr>
                <w:b/>
                <w:bCs/>
                <w:sz w:val="22"/>
                <w:szCs w:val="22"/>
              </w:rPr>
              <w:t>Education</w:t>
            </w:r>
            <w:r w:rsidRPr="00C034CC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24DD79" w14:textId="471F54F0" w:rsidR="00C034CC" w:rsidRPr="00762577" w:rsidRDefault="00C034CC" w:rsidP="002848E1">
            <w:pPr>
              <w:jc w:val="center"/>
              <w:rPr>
                <w:b/>
                <w:bCs/>
                <w:sz w:val="22"/>
                <w:szCs w:val="22"/>
              </w:rPr>
            </w:pPr>
            <w:r w:rsidRPr="00C034CC">
              <w:rPr>
                <w:b/>
                <w:bCs/>
                <w:sz w:val="22"/>
                <w:szCs w:val="22"/>
              </w:rPr>
              <w:t>Certifications</w:t>
            </w:r>
          </w:p>
        </w:tc>
      </w:tr>
      <w:tr w:rsidR="00C034CC" w:rsidRPr="00762577" w14:paraId="4C7A54A3" w14:textId="77777777" w:rsidTr="00677049">
        <w:trPr>
          <w:trHeight w:val="234"/>
          <w:jc w:val="center"/>
        </w:trPr>
        <w:tc>
          <w:tcPr>
            <w:tcW w:w="6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4440F5E" w14:textId="77777777" w:rsidR="00C034CC" w:rsidRPr="00C034CC" w:rsidRDefault="00C034CC" w:rsidP="00C034CC">
            <w:pPr>
              <w:rPr>
                <w:b/>
                <w:bCs/>
                <w:sz w:val="22"/>
                <w:szCs w:val="22"/>
              </w:rPr>
            </w:pPr>
            <w:r w:rsidRPr="00C034CC">
              <w:rPr>
                <w:b/>
                <w:bCs/>
                <w:sz w:val="22"/>
                <w:szCs w:val="22"/>
              </w:rPr>
              <w:t xml:space="preserve">The Pennsylvania State University -   </w:t>
            </w:r>
            <w:r w:rsidRPr="00C034CC">
              <w:rPr>
                <w:sz w:val="22"/>
                <w:szCs w:val="22"/>
              </w:rPr>
              <w:t>University Park, PA</w:t>
            </w:r>
          </w:p>
          <w:p w14:paraId="523A90BE" w14:textId="520E6FCD" w:rsidR="00C034CC" w:rsidRPr="00C034CC" w:rsidRDefault="00C034CC" w:rsidP="00C034CC">
            <w:pPr>
              <w:rPr>
                <w:sz w:val="22"/>
                <w:szCs w:val="22"/>
              </w:rPr>
            </w:pPr>
            <w:r w:rsidRPr="00C034CC">
              <w:rPr>
                <w:sz w:val="22"/>
                <w:szCs w:val="22"/>
              </w:rPr>
              <w:t>Bachelor of Science in Integrated Social Sciences - 2018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CD430" w14:textId="77777777" w:rsidR="00C034CC" w:rsidRDefault="00C034CC" w:rsidP="00C034CC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065FD6">
              <w:rPr>
                <w:sz w:val="22"/>
                <w:szCs w:val="22"/>
              </w:rPr>
              <w:t>Certified SAFe 6 Practitioner</w:t>
            </w:r>
          </w:p>
          <w:p w14:paraId="1798657E" w14:textId="6EACA402" w:rsidR="00C034CC" w:rsidRPr="00C034CC" w:rsidRDefault="00C034CC" w:rsidP="00C034CC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C034CC">
              <w:rPr>
                <w:sz w:val="22"/>
                <w:szCs w:val="22"/>
              </w:rPr>
              <w:t>AWS Certified Cloud Practitioner</w:t>
            </w:r>
          </w:p>
        </w:tc>
      </w:tr>
      <w:tr w:rsidR="00762577" w:rsidRPr="00762577" w14:paraId="78028D89" w14:textId="77777777" w:rsidTr="000B2E4C">
        <w:trPr>
          <w:trHeight w:val="234"/>
          <w:jc w:val="center"/>
        </w:trPr>
        <w:tc>
          <w:tcPr>
            <w:tcW w:w="1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C7CCA4" w14:textId="1BF16FAB" w:rsidR="00762577" w:rsidRPr="00762577" w:rsidRDefault="00762577" w:rsidP="002848E1">
            <w:pPr>
              <w:jc w:val="center"/>
              <w:rPr>
                <w:b/>
                <w:bCs/>
                <w:sz w:val="22"/>
                <w:szCs w:val="22"/>
              </w:rPr>
            </w:pPr>
            <w:r w:rsidRPr="00762577">
              <w:rPr>
                <w:b/>
                <w:bCs/>
                <w:sz w:val="22"/>
                <w:szCs w:val="22"/>
              </w:rPr>
              <w:t>Skills</w:t>
            </w:r>
          </w:p>
        </w:tc>
      </w:tr>
      <w:tr w:rsidR="00E672F8" w:rsidRPr="00762577" w14:paraId="3E3C30F3" w14:textId="77777777" w:rsidTr="00677049">
        <w:trPr>
          <w:trHeight w:val="1111"/>
          <w:jc w:val="center"/>
        </w:trPr>
        <w:tc>
          <w:tcPr>
            <w:tcW w:w="602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FFFFFF" w:themeColor="background1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39D3FF4" w14:textId="77777777" w:rsidR="00E672F8" w:rsidRPr="00F64196" w:rsidRDefault="00E672F8" w:rsidP="00AD29BB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64196">
              <w:rPr>
                <w:sz w:val="22"/>
                <w:szCs w:val="22"/>
              </w:rPr>
              <w:t>Data Analysis: SQL, Python, PySpark, Excel</w:t>
            </w:r>
          </w:p>
          <w:p w14:paraId="3303D68B" w14:textId="77777777" w:rsidR="00E672F8" w:rsidRPr="00F64196" w:rsidRDefault="00E672F8" w:rsidP="00AD29BB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64196">
              <w:rPr>
                <w:sz w:val="22"/>
                <w:szCs w:val="22"/>
              </w:rPr>
              <w:t>Data Visualization: Tableau, Power BI</w:t>
            </w:r>
          </w:p>
          <w:p w14:paraId="5C5EF5B3" w14:textId="77777777" w:rsidR="00E672F8" w:rsidRPr="00F64196" w:rsidRDefault="00E672F8" w:rsidP="00AD29BB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64196">
              <w:rPr>
                <w:sz w:val="22"/>
                <w:szCs w:val="22"/>
              </w:rPr>
              <w:t>Cloud Platforms: AWS, Azure, Databricks</w:t>
            </w:r>
          </w:p>
          <w:p w14:paraId="62838C07" w14:textId="77777777" w:rsidR="00E672F8" w:rsidRDefault="00E672F8" w:rsidP="00AD29BB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64196">
              <w:rPr>
                <w:sz w:val="22"/>
                <w:szCs w:val="22"/>
              </w:rPr>
              <w:t>Data Governance &amp; Compliance</w:t>
            </w:r>
          </w:p>
          <w:p w14:paraId="60A840E0" w14:textId="6522C8AF" w:rsidR="00677049" w:rsidRPr="00F64196" w:rsidRDefault="00677049" w:rsidP="00AD29BB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C47A17">
              <w:rPr>
                <w:sz w:val="22"/>
                <w:szCs w:val="22"/>
              </w:rPr>
              <w:t>Cross-functional stakeholder engagemen</w:t>
            </w:r>
            <w:r>
              <w:rPr>
                <w:sz w:val="22"/>
                <w:szCs w:val="22"/>
              </w:rPr>
              <w:t>t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6" w:space="0" w:color="auto"/>
            </w:tcBorders>
          </w:tcPr>
          <w:p w14:paraId="27A57D4A" w14:textId="5FD0E3E7" w:rsidR="00E672F8" w:rsidRPr="00F64196" w:rsidRDefault="00434B0E" w:rsidP="00AD29BB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434B0E">
              <w:rPr>
                <w:sz w:val="22"/>
                <w:szCs w:val="22"/>
              </w:rPr>
              <w:t>Business Analysis &amp; Reporting: Requirements gathering, gap analysis, process improvement</w:t>
            </w:r>
          </w:p>
          <w:p w14:paraId="23710D33" w14:textId="15D757B8" w:rsidR="00E672F8" w:rsidRPr="00F64196" w:rsidRDefault="00A06F2E" w:rsidP="00AD29BB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ETL, Data Pipeline, </w:t>
            </w:r>
            <w:r w:rsidR="00E672F8" w:rsidRPr="00F64196">
              <w:rPr>
                <w:sz w:val="22"/>
                <w:szCs w:val="22"/>
              </w:rPr>
              <w:t>Machine Learning &amp; AI</w:t>
            </w:r>
          </w:p>
          <w:p w14:paraId="7887A3F9" w14:textId="77777777" w:rsidR="00E672F8" w:rsidRPr="00F64196" w:rsidRDefault="00E672F8" w:rsidP="00AD29BB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64196">
              <w:rPr>
                <w:sz w:val="22"/>
                <w:szCs w:val="22"/>
              </w:rPr>
              <w:t>Agile Methodologies: SAFe, Scrum, Kanban</w:t>
            </w:r>
          </w:p>
          <w:p w14:paraId="14FCB86F" w14:textId="24B30C09" w:rsidR="00E672F8" w:rsidRPr="00677049" w:rsidRDefault="00677049" w:rsidP="0067704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64196">
              <w:rPr>
                <w:sz w:val="22"/>
                <w:szCs w:val="22"/>
              </w:rPr>
              <w:t>Project Management: JIRA, Confluence</w:t>
            </w:r>
          </w:p>
        </w:tc>
      </w:tr>
      <w:tr w:rsidR="00762577" w:rsidRPr="00762577" w14:paraId="65653B3D" w14:textId="77777777" w:rsidTr="00065FD6">
        <w:trPr>
          <w:trHeight w:val="277"/>
          <w:tblHeader/>
          <w:jc w:val="center"/>
        </w:trPr>
        <w:tc>
          <w:tcPr>
            <w:tcW w:w="1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2E9DB7" w14:textId="77777777" w:rsidR="00762577" w:rsidRPr="00762577" w:rsidRDefault="00762577" w:rsidP="002848E1">
            <w:pPr>
              <w:jc w:val="center"/>
              <w:rPr>
                <w:b/>
                <w:bCs/>
                <w:sz w:val="22"/>
                <w:szCs w:val="22"/>
              </w:rPr>
            </w:pPr>
            <w:r w:rsidRPr="00762577">
              <w:rPr>
                <w:b/>
                <w:bCs/>
                <w:sz w:val="22"/>
                <w:szCs w:val="22"/>
              </w:rPr>
              <w:t>Professional Experience</w:t>
            </w:r>
          </w:p>
        </w:tc>
      </w:tr>
      <w:tr w:rsidR="002848E1" w:rsidRPr="00F64196" w14:paraId="14668390" w14:textId="77777777" w:rsidTr="00D73E83">
        <w:trPr>
          <w:trHeight w:val="20"/>
          <w:jc w:val="center"/>
        </w:trPr>
        <w:tc>
          <w:tcPr>
            <w:tcW w:w="5902" w:type="dxa"/>
            <w:tcBorders>
              <w:top w:val="single" w:sz="4" w:space="0" w:color="auto"/>
              <w:left w:val="single" w:sz="6" w:space="0" w:color="auto"/>
              <w:bottom w:val="single" w:sz="4" w:space="0" w:color="FFFFFF"/>
              <w:right w:val="single" w:sz="4" w:space="0" w:color="FFFFFF" w:themeColor="background1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6B2159" w14:textId="24391BFB" w:rsidR="00D45A7C" w:rsidRPr="00F64196" w:rsidRDefault="00D45A7C" w:rsidP="00D45A7C">
            <w:pPr>
              <w:rPr>
                <w:sz w:val="22"/>
                <w:szCs w:val="22"/>
              </w:rPr>
            </w:pPr>
            <w:r w:rsidRPr="00762577">
              <w:rPr>
                <w:b/>
                <w:bCs/>
                <w:sz w:val="22"/>
                <w:szCs w:val="22"/>
              </w:rPr>
              <w:t>Capital Group</w:t>
            </w:r>
            <w:r w:rsidRPr="00762577">
              <w:rPr>
                <w:sz w:val="22"/>
                <w:szCs w:val="22"/>
              </w:rPr>
              <w:br/>
            </w:r>
            <w:r w:rsidRPr="00F64196">
              <w:rPr>
                <w:i/>
                <w:iCs/>
                <w:sz w:val="22"/>
                <w:szCs w:val="22"/>
              </w:rPr>
              <w:t>Data Product Manager – Enterprise Data Office</w:t>
            </w:r>
            <w:r w:rsidRPr="00F64196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6063" w:type="dxa"/>
            <w:gridSpan w:val="2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6" w:space="0" w:color="auto"/>
            </w:tcBorders>
            <w:vAlign w:val="bottom"/>
          </w:tcPr>
          <w:p w14:paraId="5479B8A1" w14:textId="6E301562" w:rsidR="00D45A7C" w:rsidRPr="00F64196" w:rsidRDefault="00D45A7C" w:rsidP="00D45A7C">
            <w:pPr>
              <w:jc w:val="right"/>
              <w:rPr>
                <w:b/>
                <w:bCs/>
                <w:sz w:val="22"/>
                <w:szCs w:val="22"/>
              </w:rPr>
            </w:pPr>
            <w:r w:rsidRPr="00F64196">
              <w:rPr>
                <w:b/>
                <w:bCs/>
                <w:sz w:val="22"/>
                <w:szCs w:val="22"/>
              </w:rPr>
              <w:t>Irvine, CA</w:t>
            </w:r>
          </w:p>
          <w:p w14:paraId="779E711E" w14:textId="168DFF6D" w:rsidR="00D45A7C" w:rsidRPr="00762577" w:rsidRDefault="00D45A7C" w:rsidP="00D45A7C">
            <w:pPr>
              <w:jc w:val="right"/>
              <w:rPr>
                <w:sz w:val="22"/>
                <w:szCs w:val="22"/>
              </w:rPr>
            </w:pPr>
            <w:r w:rsidRPr="00762577">
              <w:rPr>
                <w:sz w:val="22"/>
                <w:szCs w:val="22"/>
              </w:rPr>
              <w:t xml:space="preserve">November 2021 </w:t>
            </w:r>
            <w:r w:rsidR="005B09BC">
              <w:rPr>
                <w:sz w:val="22"/>
                <w:szCs w:val="22"/>
              </w:rPr>
              <w:t>–</w:t>
            </w:r>
            <w:r w:rsidRPr="00762577">
              <w:rPr>
                <w:sz w:val="22"/>
                <w:szCs w:val="22"/>
              </w:rPr>
              <w:t xml:space="preserve"> </w:t>
            </w:r>
            <w:r w:rsidR="005B09BC">
              <w:rPr>
                <w:sz w:val="22"/>
                <w:szCs w:val="22"/>
              </w:rPr>
              <w:t>October 2024</w:t>
            </w:r>
          </w:p>
        </w:tc>
      </w:tr>
      <w:tr w:rsidR="00762577" w:rsidRPr="00762577" w14:paraId="7DD5779F" w14:textId="77777777" w:rsidTr="002C6C1B">
        <w:trPr>
          <w:trHeight w:val="5942"/>
          <w:jc w:val="center"/>
        </w:trPr>
        <w:tc>
          <w:tcPr>
            <w:tcW w:w="11965" w:type="dxa"/>
            <w:gridSpan w:val="3"/>
            <w:tcBorders>
              <w:top w:val="nil"/>
              <w:left w:val="single" w:sz="6" w:space="0" w:color="auto"/>
              <w:bottom w:val="single" w:sz="4" w:space="0" w:color="FFFFFF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995673" w14:textId="318A89A3" w:rsidR="00C36233" w:rsidRPr="004D10E3" w:rsidRDefault="00C36233" w:rsidP="004D10E3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C36233">
              <w:rPr>
                <w:sz w:val="22"/>
                <w:szCs w:val="22"/>
              </w:rPr>
              <w:t>Leveraged expertise in capital markets and data acquisition to spearhead ingestion of 9 new ETF data sources representing</w:t>
            </w:r>
            <w:r>
              <w:rPr>
                <w:sz w:val="22"/>
                <w:szCs w:val="22"/>
              </w:rPr>
              <w:t xml:space="preserve"> </w:t>
            </w:r>
            <w:r w:rsidRPr="00C36233">
              <w:rPr>
                <w:sz w:val="22"/>
                <w:szCs w:val="22"/>
              </w:rPr>
              <w:t>$3</w:t>
            </w:r>
            <w:r w:rsidR="001C0059">
              <w:rPr>
                <w:sz w:val="22"/>
                <w:szCs w:val="22"/>
              </w:rPr>
              <w:t>1</w:t>
            </w:r>
            <w:r w:rsidRPr="00C36233">
              <w:rPr>
                <w:sz w:val="22"/>
                <w:szCs w:val="22"/>
              </w:rPr>
              <w:t>B in transaction data. This initiative enhanced market visibility into Capital Group's 12 active and passive ETF product</w:t>
            </w:r>
            <w:r w:rsidR="004D10E3">
              <w:rPr>
                <w:sz w:val="22"/>
                <w:szCs w:val="22"/>
              </w:rPr>
              <w:t xml:space="preserve"> </w:t>
            </w:r>
            <w:r w:rsidRPr="004D10E3">
              <w:rPr>
                <w:sz w:val="22"/>
                <w:szCs w:val="22"/>
              </w:rPr>
              <w:t>suites and facilitated global transparency for data scientists into buyer/seller activity, driving advanced analytics.</w:t>
            </w:r>
          </w:p>
          <w:p w14:paraId="1C9BDF73" w14:textId="22F9F655" w:rsidR="00C36233" w:rsidRDefault="004D10E3" w:rsidP="00C36233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Implemented</w:t>
            </w:r>
            <w:r w:rsidR="00C36233" w:rsidRPr="00C36233">
              <w:rPr>
                <w:sz w:val="22"/>
                <w:szCs w:val="22"/>
              </w:rPr>
              <w:t xml:space="preserve"> a Data Governance framework spanning 7 cross-functional teams</w:t>
            </w:r>
            <w:r>
              <w:rPr>
                <w:sz w:val="22"/>
                <w:szCs w:val="22"/>
              </w:rPr>
              <w:t xml:space="preserve"> (25+ contributors)</w:t>
            </w:r>
            <w:r w:rsidR="00C36233" w:rsidRPr="00C36233">
              <w:rPr>
                <w:sz w:val="22"/>
                <w:szCs w:val="22"/>
              </w:rPr>
              <w:t xml:space="preserve"> and 6 key systems, including data lakes,</w:t>
            </w:r>
            <w:r w:rsidR="00C36233">
              <w:rPr>
                <w:sz w:val="22"/>
                <w:szCs w:val="22"/>
              </w:rPr>
              <w:t xml:space="preserve"> </w:t>
            </w:r>
            <w:r w:rsidR="00C36233" w:rsidRPr="00C36233">
              <w:rPr>
                <w:sz w:val="22"/>
                <w:szCs w:val="22"/>
              </w:rPr>
              <w:t>warehouses, and business intelligence tools. Forged trusted partnerships with IT, Sales, Data Science, Engineering,</w:t>
            </w:r>
            <w:r w:rsidR="00C36233">
              <w:rPr>
                <w:sz w:val="22"/>
                <w:szCs w:val="22"/>
              </w:rPr>
              <w:t xml:space="preserve"> </w:t>
            </w:r>
            <w:r w:rsidR="00C36233" w:rsidRPr="00C36233">
              <w:rPr>
                <w:sz w:val="22"/>
                <w:szCs w:val="22"/>
              </w:rPr>
              <w:t>Consulting, Business Research, Compliance, and Legal. Ensured tight alignment of data analytics capabilities and insights to</w:t>
            </w:r>
            <w:r w:rsidR="00C36233">
              <w:rPr>
                <w:sz w:val="22"/>
                <w:szCs w:val="22"/>
              </w:rPr>
              <w:t xml:space="preserve"> </w:t>
            </w:r>
            <w:r w:rsidR="00C36233" w:rsidRPr="00C36233">
              <w:rPr>
                <w:sz w:val="22"/>
                <w:szCs w:val="22"/>
              </w:rPr>
              <w:t>core ETF product goals and roadmap strategies.</w:t>
            </w:r>
          </w:p>
          <w:p w14:paraId="4AF83DD3" w14:textId="7B1D02C4" w:rsidR="00C36233" w:rsidRPr="00C36233" w:rsidRDefault="00C36233" w:rsidP="00C36233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C36233">
              <w:rPr>
                <w:sz w:val="22"/>
                <w:szCs w:val="22"/>
              </w:rPr>
              <w:t>Architected</w:t>
            </w:r>
            <w:r w:rsidRPr="00C36233">
              <w:rPr>
                <w:b/>
                <w:bCs/>
                <w:sz w:val="22"/>
                <w:szCs w:val="22"/>
              </w:rPr>
              <w:t xml:space="preserve"> </w:t>
            </w:r>
            <w:r w:rsidRPr="00C36233">
              <w:rPr>
                <w:sz w:val="22"/>
                <w:szCs w:val="22"/>
              </w:rPr>
              <w:t xml:space="preserve">and executed a customized </w:t>
            </w:r>
            <w:r w:rsidR="002C4785" w:rsidRPr="002C4785">
              <w:rPr>
                <w:sz w:val="22"/>
                <w:szCs w:val="22"/>
              </w:rPr>
              <w:t>a seeding money tracker</w:t>
            </w:r>
            <w:r w:rsidRPr="00C36233">
              <w:rPr>
                <w:sz w:val="22"/>
                <w:szCs w:val="22"/>
              </w:rPr>
              <w:t xml:space="preserve"> scanning ETL pipelines to flag regulatory and compliance</w:t>
            </w:r>
            <w:r>
              <w:rPr>
                <w:sz w:val="22"/>
                <w:szCs w:val="22"/>
              </w:rPr>
              <w:t xml:space="preserve"> </w:t>
            </w:r>
            <w:r w:rsidRPr="00C36233">
              <w:rPr>
                <w:sz w:val="22"/>
                <w:szCs w:val="22"/>
              </w:rPr>
              <w:t xml:space="preserve">inconsistencies in ETF data. The system identified $170M of </w:t>
            </w:r>
            <w:r w:rsidR="00DA2816">
              <w:rPr>
                <w:sz w:val="22"/>
                <w:szCs w:val="22"/>
              </w:rPr>
              <w:t xml:space="preserve">unreported </w:t>
            </w:r>
            <w:r w:rsidR="002C4785">
              <w:rPr>
                <w:sz w:val="22"/>
                <w:szCs w:val="22"/>
              </w:rPr>
              <w:t xml:space="preserve">seed </w:t>
            </w:r>
            <w:r w:rsidRPr="00C36233">
              <w:rPr>
                <w:sz w:val="22"/>
                <w:szCs w:val="22"/>
              </w:rPr>
              <w:t>transactions, enabling treasury to adhere to</w:t>
            </w:r>
            <w:r>
              <w:rPr>
                <w:sz w:val="22"/>
                <w:szCs w:val="22"/>
              </w:rPr>
              <w:t xml:space="preserve"> </w:t>
            </w:r>
            <w:r w:rsidRPr="00C36233">
              <w:rPr>
                <w:sz w:val="22"/>
                <w:szCs w:val="22"/>
              </w:rPr>
              <w:t>industry standards and mitigate processing risks. My proactive approach and system were instrumental in substantially</w:t>
            </w:r>
            <w:r>
              <w:rPr>
                <w:sz w:val="22"/>
                <w:szCs w:val="22"/>
              </w:rPr>
              <w:t xml:space="preserve"> </w:t>
            </w:r>
            <w:r w:rsidRPr="00C36233">
              <w:rPr>
                <w:sz w:val="22"/>
                <w:szCs w:val="22"/>
              </w:rPr>
              <w:t>reducing compliance exposure.</w:t>
            </w:r>
          </w:p>
          <w:p w14:paraId="61D4494A" w14:textId="3501F0AE" w:rsidR="00C36233" w:rsidRPr="00C36233" w:rsidRDefault="00501687" w:rsidP="00C36233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D43A4C">
              <w:rPr>
                <w:sz w:val="22"/>
                <w:szCs w:val="22"/>
              </w:rPr>
              <w:t>nhanced reporting efficiencies through Databricks-based workflow</w:t>
            </w:r>
            <w:r>
              <w:rPr>
                <w:sz w:val="22"/>
                <w:szCs w:val="22"/>
              </w:rPr>
              <w:t>s</w:t>
            </w:r>
            <w:r w:rsidRPr="00C36233">
              <w:rPr>
                <w:sz w:val="22"/>
                <w:szCs w:val="22"/>
              </w:rPr>
              <w:t xml:space="preserve"> by</w:t>
            </w:r>
            <w:r w:rsidR="00C36233" w:rsidRPr="00C36233">
              <w:rPr>
                <w:sz w:val="22"/>
                <w:szCs w:val="22"/>
              </w:rPr>
              <w:t xml:space="preserve"> </w:t>
            </w:r>
            <w:r w:rsidRPr="00F64196">
              <w:rPr>
                <w:sz w:val="22"/>
                <w:szCs w:val="22"/>
              </w:rPr>
              <w:t xml:space="preserve">using Apache Spark, SQL, and Python, </w:t>
            </w:r>
            <w:r w:rsidR="00C36233" w:rsidRPr="00C36233">
              <w:rPr>
                <w:sz w:val="22"/>
                <w:szCs w:val="22"/>
              </w:rPr>
              <w:t>improv</w:t>
            </w:r>
            <w:r w:rsidR="000A5A5A">
              <w:rPr>
                <w:sz w:val="22"/>
                <w:szCs w:val="22"/>
              </w:rPr>
              <w:t>ing</w:t>
            </w:r>
            <w:r w:rsidR="00C36233" w:rsidRPr="00C36233">
              <w:rPr>
                <w:sz w:val="22"/>
                <w:szCs w:val="22"/>
              </w:rPr>
              <w:t xml:space="preserve"> the performance of data extraction, transformation, and loading (ETL) tasks on large data s</w:t>
            </w:r>
            <w:r w:rsidR="000A5A5A">
              <w:rPr>
                <w:sz w:val="22"/>
                <w:szCs w:val="22"/>
              </w:rPr>
              <w:t xml:space="preserve">ets, </w:t>
            </w:r>
            <w:r w:rsidR="000A5A5A" w:rsidRPr="00F64196">
              <w:rPr>
                <w:sz w:val="22"/>
                <w:szCs w:val="22"/>
              </w:rPr>
              <w:t xml:space="preserve">reducing processing time by </w:t>
            </w:r>
            <w:r w:rsidR="002C6C1B">
              <w:rPr>
                <w:sz w:val="22"/>
                <w:szCs w:val="22"/>
              </w:rPr>
              <w:t>70</w:t>
            </w:r>
            <w:r w:rsidR="000A5A5A" w:rsidRPr="00F64196">
              <w:rPr>
                <w:sz w:val="22"/>
                <w:szCs w:val="22"/>
              </w:rPr>
              <w:t>%</w:t>
            </w:r>
            <w:r w:rsidR="00C36233" w:rsidRPr="00C36233">
              <w:rPr>
                <w:sz w:val="22"/>
                <w:szCs w:val="22"/>
              </w:rPr>
              <w:t>.</w:t>
            </w:r>
          </w:p>
          <w:p w14:paraId="042C27EE" w14:textId="2A85432D" w:rsidR="00C36233" w:rsidRPr="00C36233" w:rsidRDefault="00C36233" w:rsidP="00C36233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C36233">
              <w:rPr>
                <w:sz w:val="22"/>
                <w:szCs w:val="22"/>
              </w:rPr>
              <w:t xml:space="preserve">Designed, developed, and published 36 interactive Tableau dashboards </w:t>
            </w:r>
            <w:r w:rsidR="00940E28" w:rsidRPr="0010478F">
              <w:rPr>
                <w:sz w:val="22"/>
                <w:szCs w:val="22"/>
              </w:rPr>
              <w:t>with hyper-extract automation</w:t>
            </w:r>
            <w:r w:rsidR="00940E28" w:rsidRPr="00C36233">
              <w:rPr>
                <w:sz w:val="22"/>
                <w:szCs w:val="22"/>
              </w:rPr>
              <w:t xml:space="preserve"> </w:t>
            </w:r>
            <w:r w:rsidRPr="00C36233">
              <w:rPr>
                <w:sz w:val="22"/>
                <w:szCs w:val="22"/>
              </w:rPr>
              <w:t>by leveraging PySpark to create highly optimized</w:t>
            </w:r>
            <w:r>
              <w:rPr>
                <w:sz w:val="22"/>
                <w:szCs w:val="22"/>
              </w:rPr>
              <w:t xml:space="preserve"> </w:t>
            </w:r>
            <w:r w:rsidRPr="00C36233">
              <w:rPr>
                <w:sz w:val="22"/>
                <w:szCs w:val="22"/>
              </w:rPr>
              <w:t>parquet tables as data sources, enhancing data visualization</w:t>
            </w:r>
            <w:r w:rsidR="004D10E3">
              <w:rPr>
                <w:sz w:val="22"/>
                <w:szCs w:val="22"/>
              </w:rPr>
              <w:t xml:space="preserve">, </w:t>
            </w:r>
            <w:r w:rsidRPr="00C36233">
              <w:rPr>
                <w:sz w:val="22"/>
                <w:szCs w:val="22"/>
              </w:rPr>
              <w:t>business decision-making capabilities</w:t>
            </w:r>
            <w:r w:rsidR="004D10E3">
              <w:rPr>
                <w:sz w:val="22"/>
                <w:szCs w:val="22"/>
              </w:rPr>
              <w:t>,</w:t>
            </w:r>
            <w:r w:rsidR="004D10E3" w:rsidRPr="0010478F">
              <w:rPr>
                <w:sz w:val="22"/>
                <w:szCs w:val="22"/>
              </w:rPr>
              <w:t xml:space="preserve"> improving load times and usability for global stakeholders</w:t>
            </w:r>
            <w:r w:rsidRPr="00C36233">
              <w:rPr>
                <w:sz w:val="22"/>
                <w:szCs w:val="22"/>
              </w:rPr>
              <w:t>.</w:t>
            </w:r>
          </w:p>
          <w:p w14:paraId="2C3F5F7F" w14:textId="7E211F86" w:rsidR="002848E1" w:rsidRPr="00F64196" w:rsidRDefault="000C38FD" w:rsidP="002848E1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0C38FD">
              <w:rPr>
                <w:sz w:val="22"/>
                <w:szCs w:val="22"/>
              </w:rPr>
              <w:t>Spearheaded the end-to-end development of an ETF analytics platform</w:t>
            </w:r>
            <w:r>
              <w:rPr>
                <w:sz w:val="22"/>
                <w:szCs w:val="22"/>
              </w:rPr>
              <w:t xml:space="preserve">, </w:t>
            </w:r>
            <w:r w:rsidR="002848E1" w:rsidRPr="00F64196">
              <w:rPr>
                <w:sz w:val="22"/>
                <w:szCs w:val="22"/>
              </w:rPr>
              <w:t xml:space="preserve">integrating </w:t>
            </w:r>
            <w:r w:rsidR="00065FD6">
              <w:rPr>
                <w:sz w:val="22"/>
                <w:szCs w:val="22"/>
              </w:rPr>
              <w:t>9</w:t>
            </w:r>
            <w:r w:rsidR="002848E1" w:rsidRPr="00F64196">
              <w:rPr>
                <w:sz w:val="22"/>
                <w:szCs w:val="22"/>
              </w:rPr>
              <w:t xml:space="preserve"> new data sources representing $</w:t>
            </w:r>
            <w:r w:rsidR="00065FD6">
              <w:rPr>
                <w:sz w:val="22"/>
                <w:szCs w:val="22"/>
              </w:rPr>
              <w:t>31</w:t>
            </w:r>
            <w:r w:rsidR="002848E1" w:rsidRPr="00F64196">
              <w:rPr>
                <w:sz w:val="22"/>
                <w:szCs w:val="22"/>
              </w:rPr>
              <w:t>B in transaction data</w:t>
            </w:r>
          </w:p>
          <w:p w14:paraId="3BD1E1F0" w14:textId="66AFD891" w:rsidR="00762577" w:rsidRPr="002C6C1B" w:rsidRDefault="00D73E83" w:rsidP="002C6C1B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D73E83">
              <w:rPr>
                <w:sz w:val="22"/>
                <w:szCs w:val="22"/>
              </w:rPr>
              <w:t xml:space="preserve">Developed the ETF RACI framework to clarify roles and responsibilities, enhancing data governance and accelerating new data pack ingestion. </w:t>
            </w:r>
            <w:r w:rsidR="0010478F" w:rsidRPr="002C6C1B">
              <w:rPr>
                <w:sz w:val="22"/>
                <w:szCs w:val="22"/>
              </w:rPr>
              <w:t xml:space="preserve"> </w:t>
            </w:r>
          </w:p>
        </w:tc>
      </w:tr>
      <w:tr w:rsidR="007724B9" w:rsidRPr="00F64196" w14:paraId="5A821A97" w14:textId="77777777" w:rsidTr="00D73E83">
        <w:trPr>
          <w:trHeight w:val="392"/>
          <w:jc w:val="center"/>
        </w:trPr>
        <w:tc>
          <w:tcPr>
            <w:tcW w:w="5902" w:type="dxa"/>
            <w:tcBorders>
              <w:top w:val="single" w:sz="4" w:space="0" w:color="FFFFFF"/>
              <w:left w:val="single" w:sz="6" w:space="0" w:color="auto"/>
              <w:bottom w:val="single" w:sz="4" w:space="0" w:color="FFFFFF"/>
              <w:right w:val="single" w:sz="4" w:space="0" w:color="FFFFFF" w:themeColor="background1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0654678" w14:textId="77777777" w:rsidR="00D45A7C" w:rsidRPr="00F64196" w:rsidRDefault="00D45A7C" w:rsidP="00762577">
            <w:pPr>
              <w:rPr>
                <w:sz w:val="22"/>
                <w:szCs w:val="22"/>
              </w:rPr>
            </w:pPr>
            <w:r w:rsidRPr="00762577">
              <w:rPr>
                <w:b/>
                <w:bCs/>
                <w:sz w:val="22"/>
                <w:szCs w:val="22"/>
              </w:rPr>
              <w:t>Third Bridge Group</w:t>
            </w:r>
            <w:r w:rsidRPr="00762577">
              <w:rPr>
                <w:sz w:val="22"/>
                <w:szCs w:val="22"/>
              </w:rPr>
              <w:br/>
            </w:r>
            <w:r w:rsidRPr="00762577">
              <w:rPr>
                <w:i/>
                <w:iCs/>
                <w:sz w:val="22"/>
                <w:szCs w:val="22"/>
              </w:rPr>
              <w:t>Sector Analyst - Consumer Staples</w:t>
            </w:r>
            <w:r w:rsidRPr="00F64196">
              <w:rPr>
                <w:sz w:val="22"/>
                <w:szCs w:val="22"/>
              </w:rPr>
              <w:t xml:space="preserve"> </w:t>
            </w:r>
          </w:p>
        </w:tc>
        <w:tc>
          <w:tcPr>
            <w:tcW w:w="6063" w:type="dxa"/>
            <w:gridSpan w:val="2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6" w:space="0" w:color="auto"/>
            </w:tcBorders>
            <w:vAlign w:val="bottom"/>
          </w:tcPr>
          <w:p w14:paraId="32507A89" w14:textId="77777777" w:rsidR="00D45A7C" w:rsidRPr="00F64196" w:rsidRDefault="00D45A7C" w:rsidP="00D45A7C">
            <w:pPr>
              <w:jc w:val="right"/>
              <w:rPr>
                <w:b/>
                <w:bCs/>
                <w:sz w:val="22"/>
                <w:szCs w:val="22"/>
              </w:rPr>
            </w:pPr>
            <w:r w:rsidRPr="00F64196">
              <w:rPr>
                <w:b/>
                <w:bCs/>
                <w:sz w:val="22"/>
                <w:szCs w:val="22"/>
              </w:rPr>
              <w:t>New York, NY</w:t>
            </w:r>
          </w:p>
          <w:p w14:paraId="6B69F252" w14:textId="3426D279" w:rsidR="00D45A7C" w:rsidRPr="00F64196" w:rsidRDefault="00D45A7C" w:rsidP="00D45A7C">
            <w:pPr>
              <w:jc w:val="right"/>
              <w:rPr>
                <w:sz w:val="22"/>
                <w:szCs w:val="22"/>
              </w:rPr>
            </w:pPr>
            <w:r w:rsidRPr="00762577">
              <w:rPr>
                <w:sz w:val="22"/>
                <w:szCs w:val="22"/>
              </w:rPr>
              <w:t>November 2020 - November 2021</w:t>
            </w:r>
          </w:p>
        </w:tc>
      </w:tr>
      <w:tr w:rsidR="00762577" w:rsidRPr="00F64196" w14:paraId="3B4407C4" w14:textId="77777777" w:rsidTr="00D73E83">
        <w:trPr>
          <w:trHeight w:val="200"/>
          <w:jc w:val="center"/>
        </w:trPr>
        <w:tc>
          <w:tcPr>
            <w:tcW w:w="11965" w:type="dxa"/>
            <w:gridSpan w:val="3"/>
            <w:tcBorders>
              <w:top w:val="nil"/>
              <w:left w:val="single" w:sz="6" w:space="0" w:color="auto"/>
              <w:bottom w:val="single" w:sz="4" w:space="0" w:color="FFFFFF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23F25BB" w14:textId="50848EF5" w:rsidR="00355175" w:rsidRPr="00CF6B3F" w:rsidRDefault="00355175" w:rsidP="00CF6B3F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355175">
              <w:rPr>
                <w:sz w:val="22"/>
                <w:szCs w:val="22"/>
              </w:rPr>
              <w:t>Moderated over 125+ live discussions with C-level executives across Consumer Staples companies to discuss strategy,</w:t>
            </w:r>
            <w:r w:rsidR="00CF6B3F">
              <w:rPr>
                <w:sz w:val="22"/>
                <w:szCs w:val="22"/>
              </w:rPr>
              <w:t xml:space="preserve"> </w:t>
            </w:r>
            <w:r w:rsidRPr="00CF6B3F">
              <w:rPr>
                <w:sz w:val="22"/>
                <w:szCs w:val="22"/>
              </w:rPr>
              <w:t>competitive product positioning, pricing trends, inflation costs, consumer buying behavior, profitability and demand, value</w:t>
            </w:r>
            <w:r w:rsidR="00CF6B3F" w:rsidRPr="00CF6B3F">
              <w:rPr>
                <w:sz w:val="22"/>
                <w:szCs w:val="22"/>
              </w:rPr>
              <w:t xml:space="preserve"> </w:t>
            </w:r>
            <w:r w:rsidRPr="00CF6B3F">
              <w:rPr>
                <w:sz w:val="22"/>
                <w:szCs w:val="22"/>
              </w:rPr>
              <w:t>proposition, and management changes.</w:t>
            </w:r>
          </w:p>
          <w:p w14:paraId="037ED616" w14:textId="233C995C" w:rsidR="00355175" w:rsidRPr="00CF6B3F" w:rsidRDefault="00355175" w:rsidP="00CF6B3F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355175">
              <w:rPr>
                <w:sz w:val="22"/>
                <w:szCs w:val="22"/>
              </w:rPr>
              <w:t>Managed a team of 3 research associates, overseeing planning, outreach, and scheduling for interviews. Mentored associates</w:t>
            </w:r>
            <w:r w:rsidR="00CF6B3F">
              <w:rPr>
                <w:sz w:val="22"/>
                <w:szCs w:val="22"/>
              </w:rPr>
              <w:t xml:space="preserve"> </w:t>
            </w:r>
            <w:r w:rsidRPr="00CF6B3F">
              <w:rPr>
                <w:sz w:val="22"/>
                <w:szCs w:val="22"/>
              </w:rPr>
              <w:t>on industry analysis and insights across consumer staples, services, and agriculture sectors to enhance research capabilities.</w:t>
            </w:r>
          </w:p>
          <w:p w14:paraId="67E69448" w14:textId="6A3F615B" w:rsidR="00355175" w:rsidRPr="00CF6B3F" w:rsidRDefault="00CF6B3F" w:rsidP="00CF6B3F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F64196">
              <w:rPr>
                <w:sz w:val="22"/>
                <w:szCs w:val="22"/>
              </w:rPr>
              <w:lastRenderedPageBreak/>
              <w:t>Expanded product coverage portfolio</w:t>
            </w:r>
            <w:r w:rsidRPr="00355175">
              <w:rPr>
                <w:sz w:val="22"/>
                <w:szCs w:val="22"/>
              </w:rPr>
              <w:t xml:space="preserve"> </w:t>
            </w:r>
            <w:r w:rsidR="00355175" w:rsidRPr="00355175">
              <w:rPr>
                <w:sz w:val="22"/>
                <w:szCs w:val="22"/>
              </w:rPr>
              <w:t>of companies and sectors available</w:t>
            </w:r>
            <w:r>
              <w:rPr>
                <w:sz w:val="22"/>
                <w:szCs w:val="22"/>
              </w:rPr>
              <w:t xml:space="preserve"> </w:t>
            </w:r>
            <w:r w:rsidR="00355175" w:rsidRPr="00CF6B3F">
              <w:rPr>
                <w:sz w:val="22"/>
                <w:szCs w:val="22"/>
              </w:rPr>
              <w:t>to clients by distinguishing key trends relevant to Consumer Staples, Consumer Services, Agriculture, Home, and Office</w:t>
            </w:r>
            <w:r>
              <w:rPr>
                <w:sz w:val="22"/>
                <w:szCs w:val="22"/>
              </w:rPr>
              <w:t xml:space="preserve"> </w:t>
            </w:r>
            <w:r w:rsidR="00355175" w:rsidRPr="00CF6B3F">
              <w:rPr>
                <w:sz w:val="22"/>
                <w:szCs w:val="22"/>
              </w:rPr>
              <w:t>Products</w:t>
            </w:r>
            <w:r w:rsidR="00991B83">
              <w:rPr>
                <w:sz w:val="22"/>
                <w:szCs w:val="22"/>
              </w:rPr>
              <w:t>,</w:t>
            </w:r>
            <w:r w:rsidR="00355175" w:rsidRPr="00CF6B3F">
              <w:rPr>
                <w:sz w:val="22"/>
                <w:szCs w:val="22"/>
              </w:rPr>
              <w:t xml:space="preserve"> </w:t>
            </w:r>
            <w:r w:rsidR="00991B83" w:rsidRPr="00F64196">
              <w:rPr>
                <w:sz w:val="22"/>
                <w:szCs w:val="22"/>
              </w:rPr>
              <w:t>adding 142 equity names across multiple sectors</w:t>
            </w:r>
            <w:r w:rsidR="00355175" w:rsidRPr="00CF6B3F">
              <w:rPr>
                <w:sz w:val="22"/>
                <w:szCs w:val="22"/>
              </w:rPr>
              <w:t>.</w:t>
            </w:r>
          </w:p>
          <w:p w14:paraId="3B4E05DF" w14:textId="28FE8A55" w:rsidR="00762577" w:rsidRPr="00991B83" w:rsidRDefault="00355175" w:rsidP="00991B83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355175">
              <w:rPr>
                <w:sz w:val="22"/>
                <w:szCs w:val="22"/>
              </w:rPr>
              <w:t>Spearheaded idea generation, agenda topics, and interview question lists while liaising with 50+ institutional investors, Sales,</w:t>
            </w:r>
            <w:r w:rsidR="00CF6B3F">
              <w:rPr>
                <w:sz w:val="22"/>
                <w:szCs w:val="22"/>
              </w:rPr>
              <w:t xml:space="preserve"> </w:t>
            </w:r>
            <w:r w:rsidRPr="00CF6B3F">
              <w:rPr>
                <w:sz w:val="22"/>
                <w:szCs w:val="22"/>
              </w:rPr>
              <w:t>Account Management, Operations, and Legal to effectively market our content.</w:t>
            </w:r>
            <w:r w:rsidR="002848E1" w:rsidRPr="00991B83">
              <w:rPr>
                <w:sz w:val="22"/>
                <w:szCs w:val="22"/>
              </w:rPr>
              <w:t xml:space="preserve"> </w:t>
            </w:r>
          </w:p>
        </w:tc>
      </w:tr>
      <w:tr w:rsidR="00D45A7C" w:rsidRPr="00F64196" w14:paraId="5F07AAA2" w14:textId="77777777" w:rsidTr="00D73E83">
        <w:trPr>
          <w:trHeight w:val="26"/>
          <w:jc w:val="center"/>
        </w:trPr>
        <w:tc>
          <w:tcPr>
            <w:tcW w:w="5902" w:type="dxa"/>
            <w:tcBorders>
              <w:top w:val="single" w:sz="4" w:space="0" w:color="FFFFFF"/>
              <w:left w:val="single" w:sz="6" w:space="0" w:color="auto"/>
              <w:bottom w:val="single" w:sz="4" w:space="0" w:color="FFFFFF"/>
              <w:right w:val="single" w:sz="4" w:space="0" w:color="FFFFFF" w:themeColor="background1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858CF64" w14:textId="66622CE6" w:rsidR="00D45A7C" w:rsidRPr="00F64196" w:rsidRDefault="00D45A7C" w:rsidP="00762577">
            <w:pPr>
              <w:rPr>
                <w:sz w:val="22"/>
                <w:szCs w:val="22"/>
              </w:rPr>
            </w:pPr>
            <w:r w:rsidRPr="00762577">
              <w:rPr>
                <w:b/>
                <w:bCs/>
                <w:sz w:val="22"/>
                <w:szCs w:val="22"/>
              </w:rPr>
              <w:lastRenderedPageBreak/>
              <w:t>Reorg Research</w:t>
            </w:r>
            <w:r w:rsidRPr="00762577">
              <w:rPr>
                <w:sz w:val="22"/>
                <w:szCs w:val="22"/>
              </w:rPr>
              <w:br/>
            </w:r>
            <w:r w:rsidRPr="00762577">
              <w:rPr>
                <w:i/>
                <w:iCs/>
                <w:sz w:val="22"/>
                <w:szCs w:val="22"/>
              </w:rPr>
              <w:t>Data Analyst - M&amp;A &amp; Shareholder Activism</w:t>
            </w:r>
          </w:p>
        </w:tc>
        <w:tc>
          <w:tcPr>
            <w:tcW w:w="6063" w:type="dxa"/>
            <w:gridSpan w:val="2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6" w:space="0" w:color="auto"/>
            </w:tcBorders>
            <w:vAlign w:val="bottom"/>
          </w:tcPr>
          <w:p w14:paraId="44BA18A6" w14:textId="77777777" w:rsidR="00D45A7C" w:rsidRPr="00F64196" w:rsidRDefault="00D45A7C" w:rsidP="00D45A7C">
            <w:pPr>
              <w:jc w:val="right"/>
              <w:rPr>
                <w:b/>
                <w:bCs/>
                <w:sz w:val="22"/>
                <w:szCs w:val="22"/>
              </w:rPr>
            </w:pPr>
            <w:r w:rsidRPr="00F64196">
              <w:rPr>
                <w:b/>
                <w:bCs/>
                <w:sz w:val="22"/>
                <w:szCs w:val="22"/>
              </w:rPr>
              <w:t>New York, NY</w:t>
            </w:r>
          </w:p>
          <w:p w14:paraId="76420D5D" w14:textId="56391186" w:rsidR="00D45A7C" w:rsidRPr="00F64196" w:rsidRDefault="00D45A7C" w:rsidP="00D45A7C">
            <w:pPr>
              <w:jc w:val="right"/>
              <w:rPr>
                <w:sz w:val="22"/>
                <w:szCs w:val="22"/>
              </w:rPr>
            </w:pPr>
            <w:r w:rsidRPr="00762577">
              <w:rPr>
                <w:sz w:val="22"/>
                <w:szCs w:val="22"/>
              </w:rPr>
              <w:t>December 2019 - November 2020</w:t>
            </w:r>
          </w:p>
        </w:tc>
      </w:tr>
      <w:tr w:rsidR="00762577" w:rsidRPr="00F64196" w14:paraId="08B57EE6" w14:textId="77777777" w:rsidTr="004D1B01">
        <w:trPr>
          <w:trHeight w:val="569"/>
          <w:jc w:val="center"/>
        </w:trPr>
        <w:tc>
          <w:tcPr>
            <w:tcW w:w="11965" w:type="dxa"/>
            <w:gridSpan w:val="3"/>
            <w:tcBorders>
              <w:top w:val="nil"/>
              <w:left w:val="single" w:sz="6" w:space="0" w:color="auto"/>
              <w:bottom w:val="single" w:sz="4" w:space="0" w:color="FFFFFF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FD73068" w14:textId="6D9509FB" w:rsidR="00E01F41" w:rsidRPr="006F1C70" w:rsidRDefault="00E01F41" w:rsidP="006F1C70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E01F41">
              <w:rPr>
                <w:sz w:val="22"/>
                <w:szCs w:val="22"/>
              </w:rPr>
              <w:t>Collaborated with Data Science by providing subject matter expertise to develop a Machine Learning Model that scanned</w:t>
            </w:r>
            <w:r w:rsidR="006F1C70">
              <w:rPr>
                <w:sz w:val="22"/>
                <w:szCs w:val="22"/>
              </w:rPr>
              <w:t xml:space="preserve"> </w:t>
            </w:r>
            <w:r w:rsidRPr="006F1C70">
              <w:rPr>
                <w:sz w:val="22"/>
                <w:szCs w:val="22"/>
              </w:rPr>
              <w:t>thousands of SEC filings to predict event-driven shareholder activist situations or strategic</w:t>
            </w:r>
            <w:r w:rsidR="006F1C70">
              <w:rPr>
                <w:sz w:val="22"/>
                <w:szCs w:val="22"/>
              </w:rPr>
              <w:t xml:space="preserve"> </w:t>
            </w:r>
            <w:r w:rsidRPr="006F1C70">
              <w:rPr>
                <w:sz w:val="22"/>
                <w:szCs w:val="22"/>
              </w:rPr>
              <w:t>transactions.</w:t>
            </w:r>
          </w:p>
          <w:p w14:paraId="40D7DFC6" w14:textId="387185D2" w:rsidR="00E01F41" w:rsidRPr="006F1C70" w:rsidRDefault="00E01F41" w:rsidP="006F1C70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E01F41">
              <w:rPr>
                <w:sz w:val="22"/>
                <w:szCs w:val="22"/>
              </w:rPr>
              <w:t>Spearheaded the release of a Pre-Deal-M&amp;A Database composed of more than 200 companies undergoing Strategic Reviews</w:t>
            </w:r>
            <w:r w:rsidR="006F1C70">
              <w:rPr>
                <w:sz w:val="22"/>
                <w:szCs w:val="22"/>
              </w:rPr>
              <w:t xml:space="preserve"> </w:t>
            </w:r>
            <w:r w:rsidRPr="006F1C70">
              <w:rPr>
                <w:sz w:val="22"/>
                <w:szCs w:val="22"/>
              </w:rPr>
              <w:t>or Activist takeovers by onboarding data vendors, soliciting internal user feedback,</w:t>
            </w:r>
            <w:r w:rsidR="006F1C70">
              <w:rPr>
                <w:sz w:val="22"/>
                <w:szCs w:val="22"/>
              </w:rPr>
              <w:t xml:space="preserve"> </w:t>
            </w:r>
            <w:r w:rsidRPr="006F1C70">
              <w:rPr>
                <w:sz w:val="22"/>
                <w:szCs w:val="22"/>
              </w:rPr>
              <w:t>and liaising with key stakeholders, to which institutional clients subscribed.</w:t>
            </w:r>
          </w:p>
          <w:p w14:paraId="1A6DFDFC" w14:textId="31171E15" w:rsidR="00762577" w:rsidRPr="003636EF" w:rsidRDefault="00E01F41" w:rsidP="003636E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E01F41">
              <w:rPr>
                <w:sz w:val="22"/>
                <w:szCs w:val="22"/>
              </w:rPr>
              <w:t xml:space="preserve">Analyzed data received from the model to recommend improvements, identify false positives, refine the input variables </w:t>
            </w:r>
            <w:r w:rsidR="00420B82" w:rsidRPr="00E01F41">
              <w:rPr>
                <w:sz w:val="22"/>
                <w:szCs w:val="22"/>
              </w:rPr>
              <w:t>while</w:t>
            </w:r>
            <w:r w:rsidR="00420B82" w:rsidRPr="004B40B1">
              <w:rPr>
                <w:sz w:val="22"/>
                <w:szCs w:val="22"/>
              </w:rPr>
              <w:t xml:space="preserve"> also</w:t>
            </w:r>
            <w:r w:rsidRPr="004B40B1">
              <w:rPr>
                <w:sz w:val="22"/>
                <w:szCs w:val="22"/>
              </w:rPr>
              <w:t xml:space="preserve"> tracking the earnings cycle of 160+ companies who were targets </w:t>
            </w:r>
          </w:p>
        </w:tc>
      </w:tr>
      <w:tr w:rsidR="00D45A7C" w:rsidRPr="00F64196" w14:paraId="0FB5E343" w14:textId="77777777" w:rsidTr="005114D9">
        <w:trPr>
          <w:trHeight w:val="505"/>
          <w:jc w:val="center"/>
        </w:trPr>
        <w:tc>
          <w:tcPr>
            <w:tcW w:w="5902" w:type="dxa"/>
            <w:tcBorders>
              <w:top w:val="single" w:sz="4" w:space="0" w:color="FFFFFF"/>
              <w:left w:val="single" w:sz="6" w:space="0" w:color="auto"/>
              <w:bottom w:val="single" w:sz="4" w:space="0" w:color="FFFFFF"/>
              <w:right w:val="single" w:sz="4" w:space="0" w:color="FFFFFF" w:themeColor="background1"/>
            </w:tcBorders>
            <w:tcMar>
              <w:top w:w="137" w:type="dxa"/>
              <w:left w:w="120" w:type="dxa"/>
              <w:bottom w:w="137" w:type="dxa"/>
              <w:right w:w="120" w:type="dxa"/>
            </w:tcMar>
          </w:tcPr>
          <w:p w14:paraId="18211C77" w14:textId="0B3A4104" w:rsidR="00D45A7C" w:rsidRPr="00F64196" w:rsidRDefault="00D45A7C" w:rsidP="005114D9">
            <w:pPr>
              <w:rPr>
                <w:sz w:val="22"/>
                <w:szCs w:val="22"/>
              </w:rPr>
            </w:pPr>
            <w:r w:rsidRPr="00762577">
              <w:rPr>
                <w:b/>
                <w:bCs/>
                <w:sz w:val="22"/>
                <w:szCs w:val="22"/>
              </w:rPr>
              <w:t>Bloomberg L.P.</w:t>
            </w:r>
            <w:r w:rsidRPr="00762577">
              <w:rPr>
                <w:sz w:val="22"/>
                <w:szCs w:val="22"/>
              </w:rPr>
              <w:br/>
            </w:r>
            <w:r w:rsidRPr="00762577">
              <w:rPr>
                <w:i/>
                <w:iCs/>
                <w:sz w:val="22"/>
                <w:szCs w:val="22"/>
              </w:rPr>
              <w:t>Equity Research Data Analyst - TMT</w:t>
            </w:r>
          </w:p>
        </w:tc>
        <w:tc>
          <w:tcPr>
            <w:tcW w:w="6063" w:type="dxa"/>
            <w:gridSpan w:val="2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6" w:space="0" w:color="auto"/>
            </w:tcBorders>
            <w:vAlign w:val="bottom"/>
          </w:tcPr>
          <w:p w14:paraId="134A22E8" w14:textId="77777777" w:rsidR="00D45A7C" w:rsidRPr="00F64196" w:rsidRDefault="00D45A7C" w:rsidP="00D45A7C">
            <w:pPr>
              <w:jc w:val="right"/>
              <w:rPr>
                <w:b/>
                <w:bCs/>
                <w:sz w:val="22"/>
                <w:szCs w:val="22"/>
              </w:rPr>
            </w:pPr>
            <w:r w:rsidRPr="00F64196">
              <w:rPr>
                <w:b/>
                <w:bCs/>
                <w:sz w:val="22"/>
                <w:szCs w:val="22"/>
              </w:rPr>
              <w:t>New York, NY</w:t>
            </w:r>
          </w:p>
          <w:p w14:paraId="48AF7F5D" w14:textId="6324BBEB" w:rsidR="00D45A7C" w:rsidRPr="00F64196" w:rsidRDefault="00D45A7C" w:rsidP="00D45A7C">
            <w:pPr>
              <w:jc w:val="right"/>
              <w:rPr>
                <w:sz w:val="22"/>
                <w:szCs w:val="22"/>
              </w:rPr>
            </w:pPr>
            <w:r w:rsidRPr="00762577">
              <w:rPr>
                <w:sz w:val="22"/>
                <w:szCs w:val="22"/>
              </w:rPr>
              <w:t>January 2019 - December 2019</w:t>
            </w:r>
          </w:p>
        </w:tc>
      </w:tr>
      <w:tr w:rsidR="00762577" w:rsidRPr="00F64196" w14:paraId="3134B161" w14:textId="77777777" w:rsidTr="00C034CC">
        <w:trPr>
          <w:trHeight w:val="677"/>
          <w:jc w:val="center"/>
        </w:trPr>
        <w:tc>
          <w:tcPr>
            <w:tcW w:w="1196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</w:tcPr>
          <w:p w14:paraId="3955FE74" w14:textId="2D162671" w:rsidR="002B385A" w:rsidRPr="0047244B" w:rsidRDefault="002B385A" w:rsidP="0047244B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B385A">
              <w:rPr>
                <w:sz w:val="22"/>
                <w:szCs w:val="22"/>
              </w:rPr>
              <w:t>Managed a portfolio of 70 companies within the Media and communications sector to maintain data accuracy by assessing the</w:t>
            </w:r>
            <w:r w:rsidR="0047244B">
              <w:rPr>
                <w:sz w:val="22"/>
                <w:szCs w:val="22"/>
              </w:rPr>
              <w:t xml:space="preserve"> </w:t>
            </w:r>
            <w:r w:rsidRPr="0047244B">
              <w:rPr>
                <w:sz w:val="22"/>
                <w:szCs w:val="22"/>
              </w:rPr>
              <w:t>impact of any Federal Accounting Standard Advisory Board (FASB) changes, identifying new KPIs to onboard to our</w:t>
            </w:r>
            <w:r w:rsidR="0047244B">
              <w:rPr>
                <w:sz w:val="22"/>
                <w:szCs w:val="22"/>
              </w:rPr>
              <w:t xml:space="preserve"> </w:t>
            </w:r>
            <w:r w:rsidRPr="0047244B">
              <w:rPr>
                <w:sz w:val="22"/>
                <w:szCs w:val="22"/>
              </w:rPr>
              <w:t>existing database, and serving as the first point of contact for clients with any company-specific or data inquires.</w:t>
            </w:r>
          </w:p>
          <w:p w14:paraId="71DB2FCE" w14:textId="58D38C3D" w:rsidR="002B385A" w:rsidRPr="0047244B" w:rsidRDefault="0047244B" w:rsidP="0047244B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2B385A" w:rsidRPr="002B385A">
              <w:rPr>
                <w:sz w:val="22"/>
                <w:szCs w:val="22"/>
              </w:rPr>
              <w:t>dentified and amended over 5,000 data errors, which improved the comprehensiveness of the content on Bloomberg</w:t>
            </w:r>
            <w:r>
              <w:rPr>
                <w:sz w:val="22"/>
                <w:szCs w:val="22"/>
              </w:rPr>
              <w:t xml:space="preserve"> </w:t>
            </w:r>
            <w:r w:rsidR="002B385A" w:rsidRPr="0047244B">
              <w:rPr>
                <w:sz w:val="22"/>
                <w:szCs w:val="22"/>
              </w:rPr>
              <w:t>Intelligence (BI) industry dashboards in a timely and accurate manner.</w:t>
            </w:r>
          </w:p>
          <w:p w14:paraId="4408C535" w14:textId="03466B45" w:rsidR="002B385A" w:rsidRPr="0047244B" w:rsidRDefault="002B385A" w:rsidP="0047244B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B385A">
              <w:rPr>
                <w:sz w:val="22"/>
                <w:szCs w:val="22"/>
              </w:rPr>
              <w:t xml:space="preserve">Conducted in-depth analysis of </w:t>
            </w:r>
            <w:proofErr w:type="spellStart"/>
            <w:r w:rsidRPr="002B385A">
              <w:rPr>
                <w:sz w:val="22"/>
                <w:szCs w:val="22"/>
              </w:rPr>
              <w:t>ams</w:t>
            </w:r>
            <w:proofErr w:type="spellEnd"/>
            <w:r w:rsidRPr="002B385A">
              <w:rPr>
                <w:sz w:val="22"/>
                <w:szCs w:val="22"/>
              </w:rPr>
              <w:t xml:space="preserve"> AG's advancements in 3D sensing technology, emphasizing their strategic role in Apple's</w:t>
            </w:r>
            <w:r w:rsidR="0047244B">
              <w:rPr>
                <w:sz w:val="22"/>
                <w:szCs w:val="22"/>
              </w:rPr>
              <w:t xml:space="preserve"> </w:t>
            </w:r>
            <w:r w:rsidRPr="0047244B">
              <w:rPr>
                <w:sz w:val="22"/>
                <w:szCs w:val="22"/>
              </w:rPr>
              <w:t>product ecosystem and potential expansion into the Android market.</w:t>
            </w:r>
          </w:p>
          <w:p w14:paraId="2992EB7D" w14:textId="77777777" w:rsidR="0047244B" w:rsidRDefault="002B385A" w:rsidP="0047244B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2B385A">
              <w:rPr>
                <w:sz w:val="22"/>
                <w:szCs w:val="22"/>
              </w:rPr>
              <w:t xml:space="preserve">Evaluated </w:t>
            </w:r>
            <w:proofErr w:type="spellStart"/>
            <w:r w:rsidRPr="002B385A">
              <w:rPr>
                <w:sz w:val="22"/>
                <w:szCs w:val="22"/>
              </w:rPr>
              <w:t>ams</w:t>
            </w:r>
            <w:proofErr w:type="spellEnd"/>
            <w:r w:rsidRPr="002B385A">
              <w:rPr>
                <w:sz w:val="22"/>
                <w:szCs w:val="22"/>
              </w:rPr>
              <w:t xml:space="preserve"> AG’s financial performance in relation to its development and implementation of VCSEL (vertical-cavity</w:t>
            </w:r>
            <w:r w:rsidR="0047244B">
              <w:rPr>
                <w:sz w:val="22"/>
                <w:szCs w:val="22"/>
              </w:rPr>
              <w:t xml:space="preserve"> </w:t>
            </w:r>
            <w:r w:rsidRPr="0047244B">
              <w:rPr>
                <w:sz w:val="22"/>
                <w:szCs w:val="22"/>
              </w:rPr>
              <w:t>surface-emitting laser) technology, a key component in 3D facial recognition.</w:t>
            </w:r>
          </w:p>
          <w:p w14:paraId="317BEE3D" w14:textId="77777777" w:rsidR="0047244B" w:rsidRDefault="002B385A" w:rsidP="0047244B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47244B">
              <w:rPr>
                <w:sz w:val="22"/>
                <w:szCs w:val="22"/>
              </w:rPr>
              <w:t xml:space="preserve">Assessed the impact of strategic acquisitions on </w:t>
            </w:r>
            <w:proofErr w:type="spellStart"/>
            <w:r w:rsidRPr="0047244B">
              <w:rPr>
                <w:sz w:val="22"/>
                <w:szCs w:val="22"/>
              </w:rPr>
              <w:t>ams</w:t>
            </w:r>
            <w:proofErr w:type="spellEnd"/>
            <w:r w:rsidRPr="0047244B">
              <w:rPr>
                <w:sz w:val="22"/>
                <w:szCs w:val="22"/>
              </w:rPr>
              <w:t xml:space="preserve"> AG’s technological edge in optical sensors, particularly focusing on their</w:t>
            </w:r>
            <w:r w:rsidR="0047244B">
              <w:rPr>
                <w:sz w:val="22"/>
                <w:szCs w:val="22"/>
              </w:rPr>
              <w:t xml:space="preserve"> </w:t>
            </w:r>
            <w:r w:rsidRPr="0047244B">
              <w:rPr>
                <w:sz w:val="22"/>
                <w:szCs w:val="22"/>
              </w:rPr>
              <w:t>utilization in consumer electronics and automotive LIDAR systems.</w:t>
            </w:r>
          </w:p>
          <w:p w14:paraId="298A6391" w14:textId="0973D904" w:rsidR="002B385A" w:rsidRPr="0047244B" w:rsidRDefault="002B385A" w:rsidP="0047244B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47244B">
              <w:rPr>
                <w:sz w:val="22"/>
                <w:szCs w:val="22"/>
              </w:rPr>
              <w:t xml:space="preserve">Analyzed market trends and revenue potential of 3D technology adoption in smartphones, spotlighting </w:t>
            </w:r>
            <w:proofErr w:type="spellStart"/>
            <w:r w:rsidRPr="0047244B">
              <w:rPr>
                <w:sz w:val="22"/>
                <w:szCs w:val="22"/>
              </w:rPr>
              <w:t>ams</w:t>
            </w:r>
            <w:proofErr w:type="spellEnd"/>
            <w:r w:rsidRPr="0047244B">
              <w:rPr>
                <w:sz w:val="22"/>
                <w:szCs w:val="22"/>
              </w:rPr>
              <w:t xml:space="preserve"> AG’s role in</w:t>
            </w:r>
            <w:r w:rsidR="0047244B">
              <w:rPr>
                <w:sz w:val="22"/>
                <w:szCs w:val="22"/>
              </w:rPr>
              <w:t xml:space="preserve"> </w:t>
            </w:r>
            <w:r w:rsidRPr="0047244B">
              <w:rPr>
                <w:sz w:val="22"/>
                <w:szCs w:val="22"/>
              </w:rPr>
              <w:t>Apple's facial ID system and implications for future market share growth.</w:t>
            </w:r>
          </w:p>
          <w:p w14:paraId="4E5BC22A" w14:textId="54A6AF02" w:rsidR="00762577" w:rsidRPr="009F52A8" w:rsidRDefault="0047244B" w:rsidP="009F52A8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2B385A" w:rsidRPr="002B385A">
              <w:rPr>
                <w:sz w:val="22"/>
                <w:szCs w:val="22"/>
              </w:rPr>
              <w:t xml:space="preserve">nvestigated </w:t>
            </w:r>
            <w:proofErr w:type="spellStart"/>
            <w:r w:rsidR="002B385A" w:rsidRPr="002B385A">
              <w:rPr>
                <w:sz w:val="22"/>
                <w:szCs w:val="22"/>
              </w:rPr>
              <w:t>ams</w:t>
            </w:r>
            <w:proofErr w:type="spellEnd"/>
            <w:r w:rsidR="002B385A" w:rsidRPr="002B385A">
              <w:rPr>
                <w:sz w:val="22"/>
                <w:szCs w:val="22"/>
              </w:rPr>
              <w:t xml:space="preserve"> AG's venture into automotive technology, particularly their contributions to the development of autonomous</w:t>
            </w:r>
            <w:r>
              <w:rPr>
                <w:sz w:val="22"/>
                <w:szCs w:val="22"/>
              </w:rPr>
              <w:t xml:space="preserve"> </w:t>
            </w:r>
            <w:r w:rsidR="002B385A" w:rsidRPr="0047244B">
              <w:rPr>
                <w:sz w:val="22"/>
                <w:szCs w:val="22"/>
              </w:rPr>
              <w:t>driving systems, evaluating market growth prospects and revenue forecasts</w:t>
            </w:r>
            <w:r w:rsidR="009F52A8">
              <w:rPr>
                <w:sz w:val="22"/>
                <w:szCs w:val="22"/>
              </w:rPr>
              <w:t>.</w:t>
            </w:r>
          </w:p>
        </w:tc>
      </w:tr>
    </w:tbl>
    <w:p w14:paraId="7E01535F" w14:textId="77777777" w:rsidR="00A84C34" w:rsidRPr="00F64196" w:rsidRDefault="00A84C34">
      <w:pPr>
        <w:rPr>
          <w:sz w:val="22"/>
          <w:szCs w:val="22"/>
        </w:rPr>
      </w:pPr>
    </w:p>
    <w:sectPr w:rsidR="00A84C34" w:rsidRPr="00F64196" w:rsidSect="00065FD6">
      <w:pgSz w:w="12240" w:h="15840"/>
      <w:pgMar w:top="158" w:right="187" w:bottom="187" w:left="15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A1DE3" w14:textId="77777777" w:rsidR="002E69F9" w:rsidRDefault="002E69F9" w:rsidP="00762577">
      <w:r>
        <w:separator/>
      </w:r>
    </w:p>
  </w:endnote>
  <w:endnote w:type="continuationSeparator" w:id="0">
    <w:p w14:paraId="66568120" w14:textId="77777777" w:rsidR="002E69F9" w:rsidRDefault="002E69F9" w:rsidP="00762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CA66C" w14:textId="77777777" w:rsidR="002E69F9" w:rsidRDefault="002E69F9" w:rsidP="00762577">
      <w:r>
        <w:separator/>
      </w:r>
    </w:p>
  </w:footnote>
  <w:footnote w:type="continuationSeparator" w:id="0">
    <w:p w14:paraId="7A12541D" w14:textId="77777777" w:rsidR="002E69F9" w:rsidRDefault="002E69F9" w:rsidP="00762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24B35"/>
    <w:multiLevelType w:val="multilevel"/>
    <w:tmpl w:val="037AA3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C3476"/>
    <w:multiLevelType w:val="hybridMultilevel"/>
    <w:tmpl w:val="BAF6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22231"/>
    <w:multiLevelType w:val="hybridMultilevel"/>
    <w:tmpl w:val="DB98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E11C0"/>
    <w:multiLevelType w:val="multilevel"/>
    <w:tmpl w:val="61AA4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7414D3"/>
    <w:multiLevelType w:val="hybridMultilevel"/>
    <w:tmpl w:val="0EB6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D4712"/>
    <w:multiLevelType w:val="hybridMultilevel"/>
    <w:tmpl w:val="AF0C0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C17E0"/>
    <w:multiLevelType w:val="hybridMultilevel"/>
    <w:tmpl w:val="6056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0121A"/>
    <w:multiLevelType w:val="multilevel"/>
    <w:tmpl w:val="2EF499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9A42F1"/>
    <w:multiLevelType w:val="hybridMultilevel"/>
    <w:tmpl w:val="D9C2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51729"/>
    <w:multiLevelType w:val="hybridMultilevel"/>
    <w:tmpl w:val="4A700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25262"/>
    <w:multiLevelType w:val="hybridMultilevel"/>
    <w:tmpl w:val="8EDE8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64CA7"/>
    <w:multiLevelType w:val="multilevel"/>
    <w:tmpl w:val="DCF2B6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690913186">
    <w:abstractNumId w:val="3"/>
  </w:num>
  <w:num w:numId="2" w16cid:durableId="2133479471">
    <w:abstractNumId w:val="11"/>
  </w:num>
  <w:num w:numId="3" w16cid:durableId="1432387427">
    <w:abstractNumId w:val="7"/>
  </w:num>
  <w:num w:numId="4" w16cid:durableId="219487602">
    <w:abstractNumId w:val="0"/>
  </w:num>
  <w:num w:numId="5" w16cid:durableId="18900251">
    <w:abstractNumId w:val="2"/>
  </w:num>
  <w:num w:numId="6" w16cid:durableId="990987265">
    <w:abstractNumId w:val="5"/>
  </w:num>
  <w:num w:numId="7" w16cid:durableId="1618369824">
    <w:abstractNumId w:val="9"/>
  </w:num>
  <w:num w:numId="8" w16cid:durableId="813720387">
    <w:abstractNumId w:val="6"/>
  </w:num>
  <w:num w:numId="9" w16cid:durableId="2013679903">
    <w:abstractNumId w:val="10"/>
  </w:num>
  <w:num w:numId="10" w16cid:durableId="2115444520">
    <w:abstractNumId w:val="1"/>
  </w:num>
  <w:num w:numId="11" w16cid:durableId="694580822">
    <w:abstractNumId w:val="4"/>
  </w:num>
  <w:num w:numId="12" w16cid:durableId="2991180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77"/>
    <w:rsid w:val="0002785E"/>
    <w:rsid w:val="00043351"/>
    <w:rsid w:val="00065FD6"/>
    <w:rsid w:val="000A5A5A"/>
    <w:rsid w:val="000B2E4C"/>
    <w:rsid w:val="000C38FD"/>
    <w:rsid w:val="000F3823"/>
    <w:rsid w:val="0010478F"/>
    <w:rsid w:val="001135EC"/>
    <w:rsid w:val="0014287F"/>
    <w:rsid w:val="001939FD"/>
    <w:rsid w:val="001C0059"/>
    <w:rsid w:val="001C0EA7"/>
    <w:rsid w:val="001E7DD1"/>
    <w:rsid w:val="002230A2"/>
    <w:rsid w:val="00281A19"/>
    <w:rsid w:val="002848E1"/>
    <w:rsid w:val="002A5E28"/>
    <w:rsid w:val="002B385A"/>
    <w:rsid w:val="002C4785"/>
    <w:rsid w:val="002C6C1B"/>
    <w:rsid w:val="002E69F9"/>
    <w:rsid w:val="003066CE"/>
    <w:rsid w:val="00354869"/>
    <w:rsid w:val="00355175"/>
    <w:rsid w:val="003636EF"/>
    <w:rsid w:val="003A0E16"/>
    <w:rsid w:val="00420B82"/>
    <w:rsid w:val="00434B0E"/>
    <w:rsid w:val="0047244B"/>
    <w:rsid w:val="0048560E"/>
    <w:rsid w:val="004B40B1"/>
    <w:rsid w:val="004D10E3"/>
    <w:rsid w:val="004D1B01"/>
    <w:rsid w:val="004E670B"/>
    <w:rsid w:val="004E6A89"/>
    <w:rsid w:val="00501687"/>
    <w:rsid w:val="005114D9"/>
    <w:rsid w:val="00566860"/>
    <w:rsid w:val="005B09BC"/>
    <w:rsid w:val="0063177A"/>
    <w:rsid w:val="00677049"/>
    <w:rsid w:val="006F1C70"/>
    <w:rsid w:val="007465C3"/>
    <w:rsid w:val="00762577"/>
    <w:rsid w:val="007724B9"/>
    <w:rsid w:val="007D0C26"/>
    <w:rsid w:val="008075D9"/>
    <w:rsid w:val="008324C6"/>
    <w:rsid w:val="00866CA6"/>
    <w:rsid w:val="00883962"/>
    <w:rsid w:val="008E4653"/>
    <w:rsid w:val="00940E28"/>
    <w:rsid w:val="0096540E"/>
    <w:rsid w:val="00991B83"/>
    <w:rsid w:val="009B3A04"/>
    <w:rsid w:val="009F52A8"/>
    <w:rsid w:val="00A06F2E"/>
    <w:rsid w:val="00A84C34"/>
    <w:rsid w:val="00AD29BB"/>
    <w:rsid w:val="00B71FA9"/>
    <w:rsid w:val="00C034CC"/>
    <w:rsid w:val="00C1182E"/>
    <w:rsid w:val="00C36233"/>
    <w:rsid w:val="00C47A17"/>
    <w:rsid w:val="00CF6B3F"/>
    <w:rsid w:val="00CF6FB9"/>
    <w:rsid w:val="00D43A4C"/>
    <w:rsid w:val="00D45A7C"/>
    <w:rsid w:val="00D73E83"/>
    <w:rsid w:val="00DA2816"/>
    <w:rsid w:val="00DC31BF"/>
    <w:rsid w:val="00E01F41"/>
    <w:rsid w:val="00E47F40"/>
    <w:rsid w:val="00E672F8"/>
    <w:rsid w:val="00EE2DBD"/>
    <w:rsid w:val="00EE7BE5"/>
    <w:rsid w:val="00F6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2886"/>
  <w15:chartTrackingRefBased/>
  <w15:docId w15:val="{E704E8A6-F62A-254D-8C7E-D560BEEA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5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5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5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5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5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5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5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5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25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5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25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577"/>
  </w:style>
  <w:style w:type="paragraph" w:styleId="Footer">
    <w:name w:val="footer"/>
    <w:basedOn w:val="Normal"/>
    <w:link w:val="FooterChar"/>
    <w:uiPriority w:val="99"/>
    <w:unhideWhenUsed/>
    <w:rsid w:val="007625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577"/>
  </w:style>
  <w:style w:type="character" w:styleId="FollowedHyperlink">
    <w:name w:val="FollowedHyperlink"/>
    <w:basedOn w:val="DefaultParagraphFont"/>
    <w:uiPriority w:val="99"/>
    <w:semiHidden/>
    <w:unhideWhenUsed/>
    <w:rsid w:val="002848E1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D73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6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9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yreehinto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kedin.com/in/nyreehin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B5E8EA-9384-C148-B8FC-A5FE66797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Nyree Hinton</dc:creator>
  <cp:keywords/>
  <dc:description/>
  <cp:lastModifiedBy>Nyree Hinton</cp:lastModifiedBy>
  <cp:revision>26</cp:revision>
  <cp:lastPrinted>2024-07-19T19:32:00Z</cp:lastPrinted>
  <dcterms:created xsi:type="dcterms:W3CDTF">2024-11-28T23:15:00Z</dcterms:created>
  <dcterms:modified xsi:type="dcterms:W3CDTF">2024-12-24T20:10:00Z</dcterms:modified>
</cp:coreProperties>
</file>