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D1B34"/>
          <w:sz w:val="34"/>
          <w:szCs w:val="34"/>
        </w:rPr>
        <w:t xml:space="preserve">MEDIA ANALYSIS KEY TERMS</w:t>
      </w:r>
    </w:p>
    <w:p>
      <w:pPr>
        <w:pBdr>
          <w:bottom w:val="single" w:color="B08D57" w:sz="12" w:space="8"/>
        </w:pBd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AFA 2004 — Viewing the Black Women — Unit 1 Worksheet</w:t>
      </w:r>
    </w:p>
    <w:p>
      <w:pPr>
        <w:spacing w:after="200"/>
      </w:pPr>
      <w:r>
        <w:rPr>
          <w:sz w:val="21"/>
          <w:szCs w:val="21"/>
        </w:rPr>
        <w:t xml:space="preserve">Define each term in your own words and provide an example.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rPr>
          <w:tblHeader/>
        </w:trPr>
        <w:tc>
          <w:tcPr>
            <w:shd w:fill="6D1B3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6D1B3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Definitions</w:t>
            </w:r>
          </w:p>
        </w:tc>
        <w:tc>
          <w:tcPr>
            <w:shd w:fill="6D1B3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Agency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Erasure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Framing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Gaze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Stereotype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Subtext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Symbolism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Tokenism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  <w:color w:val="6D1B34"/>
                <w:sz w:val="22"/>
                <w:szCs w:val="22"/>
              </w:rPr>
              <w:t xml:space="preserve">Trope</w:t>
            </w:r>
          </w:p>
        </w:tc>
        <w:tc>
          <w:tcPr>
            <w:tcW w:type="dxa" w:w="42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000"/>
            <w:tcMar>
              <w:top w:type="dxa" w:w="300"/>
              <w:left w:type="dxa" w:w="150"/>
              <w:bottom w:type="dxa" w:w="3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2026-07-20T01:05:27.826Z</dcterms:created>
  <dcterms:modified xsi:type="dcterms:W3CDTF">2026-07-20T01:05:27.826Z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