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3D2B"/>
          <w:sz w:val="40"/>
          <w:szCs w:val="40"/>
        </w:rPr>
        <w:t xml:space="preserve">VIEWING THE BLACK WOMEN</w:t>
      </w:r>
    </w:p>
    <w:p>
      <w:pPr>
        <w:spacing w:after="40"/>
        <w:jc w:val="center"/>
      </w:pPr>
      <w:r>
        <w:rPr>
          <w:b/>
          <w:bCs/>
          <w:color w:val="B08D57"/>
          <w:sz w:val="24"/>
          <w:szCs w:val="24"/>
        </w:rPr>
        <w:t xml:space="preserve">AFA 2004 — 3 Credit Hours — Mixed Mode</w:t>
      </w:r>
    </w:p>
    <w:p>
      <w:pPr>
        <w:pBdr>
          <w:bottom w:val="single" w:color="B08D57" w:sz="12" w:space="8"/>
        </w:pBdr>
        <w:spacing w:after="300"/>
        <w:jc w:val="center"/>
      </w:pPr>
      <w:r>
        <w:rPr>
          <w:i/>
          <w:iCs/>
          <w:color w:val="555555"/>
          <w:sz w:val="20"/>
          <w:szCs w:val="20"/>
        </w:rPr>
        <w:t xml:space="preserve">Fall 2026 Semester Syllabus</w:t>
      </w:r>
    </w:p>
    <w:p>
      <w:pPr>
        <w:pStyle w:val="Heading1"/>
        <w:pBdr>
          <w:bottom w:val="single" w:color="0F3D2B" w:sz="6" w:space="4"/>
        </w:pBdr>
        <w:spacing w:after="160" w:before="320"/>
      </w:pPr>
      <w:r>
        <w:rPr>
          <w:b/>
          <w:bCs/>
          <w:color w:val="0F3D2B"/>
          <w:sz w:val="28"/>
          <w:szCs w:val="28"/>
        </w:rPr>
        <w:t xml:space="preserve">Course Information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color w:val="0F3D2B"/>
                <w:sz w:val="20"/>
                <w:szCs w:val="20"/>
              </w:rPr>
              <w:t xml:space="preserve">Course Title</w:t>
            </w:r>
          </w:p>
        </w:tc>
        <w:tc>
          <w:tcPr>
            <w:tcW w:type="dxa" w:w="7000"/>
          </w:tcPr>
          <w:p>
            <w:r>
              <w:rPr>
                <w:sz w:val="20"/>
                <w:szCs w:val="20"/>
              </w:rPr>
              <w:t xml:space="preserve">Viewing the Black Women</w:t>
            </w:r>
          </w:p>
        </w:tc>
      </w:tr>
      <w:tr>
        <w:tc>
          <w:tcPr>
            <w:tcW w:type="dxa" w:w="2400"/>
            <w:shd w:fill="F2F2F2" w:val="clear"/>
          </w:tcPr>
          <w:p>
            <w:r>
              <w:rPr>
                <w:b/>
                <w:bCs/>
                <w:color w:val="0F3D2B"/>
                <w:sz w:val="20"/>
                <w:szCs w:val="20"/>
              </w:rPr>
              <w:t xml:space="preserve">Course Number</w:t>
            </w:r>
          </w:p>
        </w:tc>
        <w:tc>
          <w:tcPr>
            <w:tcW w:type="dxa" w:w="7000"/>
          </w:tcPr>
          <w:p>
            <w:r>
              <w:rPr>
                <w:sz w:val="20"/>
                <w:szCs w:val="20"/>
              </w:rPr>
              <w:t xml:space="preserve">AFA 2004</w:t>
            </w:r>
          </w:p>
        </w:tc>
      </w:tr>
      <w:tr>
        <w:tc>
          <w:tcPr>
            <w:tcW w:type="dxa" w:w="2400"/>
            <w:shd w:fill="F2F2F2" w:val="clear"/>
          </w:tcPr>
          <w:p>
            <w:r>
              <w:rPr>
                <w:b/>
                <w:bCs/>
                <w:color w:val="0F3D2B"/>
                <w:sz w:val="20"/>
                <w:szCs w:val="20"/>
              </w:rPr>
              <w:t xml:space="preserve">Credit Hours</w:t>
            </w:r>
          </w:p>
        </w:tc>
        <w:tc>
          <w:tcPr>
            <w:tcW w:type="dxa" w:w="7000"/>
          </w:tcPr>
          <w:p>
            <w:r>
              <w:rPr>
                <w:sz w:val="20"/>
                <w:szCs w:val="20"/>
              </w:rPr>
              <w:t xml:space="preserve">3</w:t>
            </w:r>
          </w:p>
        </w:tc>
      </w:tr>
      <w:tr>
        <w:tc>
          <w:tcPr>
            <w:tcW w:type="dxa" w:w="2400"/>
            <w:shd w:fill="F2F2F2" w:val="clear"/>
          </w:tcPr>
          <w:p>
            <w:r>
              <w:rPr>
                <w:b/>
                <w:bCs/>
                <w:color w:val="0F3D2B"/>
                <w:sz w:val="20"/>
                <w:szCs w:val="20"/>
              </w:rPr>
              <w:t xml:space="preserve">Modality</w:t>
            </w:r>
          </w:p>
        </w:tc>
        <w:tc>
          <w:tcPr>
            <w:tcW w:type="dxa" w:w="7000"/>
          </w:tcPr>
          <w:p>
            <w:r>
              <w:rPr>
                <w:sz w:val="20"/>
                <w:szCs w:val="20"/>
              </w:rPr>
              <w:t xml:space="preserve">Mixed Mode (in-person + online components)</w:t>
            </w:r>
          </w:p>
        </w:tc>
      </w:tr>
      <w:tr>
        <w:tc>
          <w:tcPr>
            <w:tcW w:type="dxa" w:w="2400"/>
            <w:shd w:fill="F2F2F2" w:val="clear"/>
          </w:tcPr>
          <w:p>
            <w:r>
              <w:rPr>
                <w:b/>
                <w:bCs/>
                <w:color w:val="0F3D2B"/>
                <w:sz w:val="20"/>
                <w:szCs w:val="20"/>
              </w:rPr>
              <w:t xml:space="preserve">Meeting Pattern</w:t>
            </w:r>
          </w:p>
        </w:tc>
        <w:tc>
          <w:tcPr>
            <w:tcW w:type="dxa" w:w="7000"/>
          </w:tcPr>
          <w:p>
            <w:r>
              <w:rPr>
                <w:sz w:val="20"/>
                <w:szCs w:val="20"/>
              </w:rPr>
              <w:t xml:space="preserve">In person, 75 minutes, every Thursday.</w:t>
            </w:r>
          </w:p>
        </w:tc>
      </w:tr>
    </w:tbl>
    <w:p>
      <w:pPr>
        <w:spacing w:after="120"/>
      </w:pPr>
      <w:r>
        <w:rPr>
          <w:sz w:val="22"/>
          <w:szCs w:val="22"/>
        </w:rPr>
        <w:t xml:space="preserve"/>
      </w:r>
    </w:p>
    <w:p>
      <w:pPr>
        <w:pStyle w:val="Heading1"/>
        <w:pBdr>
          <w:bottom w:val="single" w:color="0F3D2B" w:sz="6" w:space="4"/>
        </w:pBdr>
        <w:spacing w:after="160" w:before="320"/>
      </w:pPr>
      <w:r>
        <w:rPr>
          <w:b/>
          <w:bCs/>
          <w:color w:val="0F3D2B"/>
          <w:sz w:val="28"/>
          <w:szCs w:val="28"/>
        </w:rPr>
        <w:t xml:space="preserve">Instructor Information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color w:val="0F3D2B"/>
                <w:sz w:val="20"/>
                <w:szCs w:val="20"/>
              </w:rPr>
              <w:t xml:space="preserve">Instructor</w:t>
            </w:r>
          </w:p>
        </w:tc>
        <w:tc>
          <w:tcPr>
            <w:tcW w:type="dxa" w:w="7000"/>
          </w:tcPr>
          <w:p>
            <w:r>
              <w:rPr>
                <w:sz w:val="20"/>
                <w:szCs w:val="20"/>
              </w:rPr>
              <w:t xml:space="preserve">Nyree Brown</w:t>
            </w:r>
          </w:p>
        </w:tc>
      </w:tr>
      <w:tr>
        <w:tc>
          <w:tcPr>
            <w:tcW w:type="dxa" w:w="2400"/>
            <w:shd w:fill="F2F2F2" w:val="clear"/>
          </w:tcPr>
          <w:p>
            <w:r>
              <w:rPr>
                <w:b/>
                <w:bCs/>
                <w:color w:val="0F3D2B"/>
                <w:sz w:val="20"/>
                <w:szCs w:val="20"/>
              </w:rPr>
              <w:t xml:space="preserve">Office Hours</w:t>
            </w:r>
          </w:p>
        </w:tc>
        <w:tc>
          <w:tcPr>
            <w:tcW w:type="dxa" w:w="7000"/>
          </w:tcPr>
          <w:p>
            <w:r>
              <w:rPr>
                <w:sz w:val="20"/>
                <w:szCs w:val="20"/>
              </w:rPr>
              <w:t xml:space="preserve">By appointment — email to schedule (in-person or virtual)</w:t>
            </w:r>
          </w:p>
        </w:tc>
      </w:tr>
      <w:tr>
        <w:tc>
          <w:tcPr>
            <w:tcW w:type="dxa" w:w="2400"/>
            <w:shd w:fill="F2F2F2" w:val="clear"/>
          </w:tcPr>
          <w:p>
            <w:r>
              <w:rPr>
                <w:b/>
                <w:bCs/>
                <w:color w:val="0F3D2B"/>
                <w:sz w:val="20"/>
                <w:szCs w:val="20"/>
              </w:rPr>
              <w:t xml:space="preserve">Contact Method</w:t>
            </w:r>
          </w:p>
        </w:tc>
        <w:tc>
          <w:tcPr>
            <w:tcW w:type="dxa" w:w="7000"/>
          </w:tcPr>
          <w:p>
            <w:r>
              <w:rPr>
                <w:sz w:val="20"/>
                <w:szCs w:val="20"/>
              </w:rPr>
              <w:t xml:space="preserve">Email is the preferred way to reach me.</w:t>
            </w:r>
          </w:p>
        </w:tc>
      </w:tr>
      <w:tr>
        <w:tc>
          <w:tcPr>
            <w:tcW w:type="dxa" w:w="2400"/>
            <w:shd w:fill="F2F2F2" w:val="clear"/>
          </w:tcPr>
          <w:p>
            <w:r>
              <w:rPr>
                <w:b/>
                <w:bCs/>
                <w:color w:val="0F3D2B"/>
                <w:sz w:val="20"/>
                <w:szCs w:val="20"/>
              </w:rPr>
              <w:t xml:space="preserve">Response Time</w:t>
            </w:r>
          </w:p>
        </w:tc>
        <w:tc>
          <w:tcPr>
            <w:tcW w:type="dxa" w:w="7000"/>
          </w:tcPr>
          <w:p>
            <w:r>
              <w:rPr>
                <w:sz w:val="20"/>
                <w:szCs w:val="20"/>
              </w:rPr>
              <w:t xml:space="preserve">Expect a 24–48 hour reply window on weekdays.</w:t>
            </w:r>
          </w:p>
        </w:tc>
      </w:tr>
      <w:tr>
        <w:tc>
          <w:tcPr>
            <w:tcW w:type="dxa" w:w="2400"/>
            <w:shd w:fill="F2F2F2" w:val="clear"/>
          </w:tcPr>
          <w:p>
            <w:r>
              <w:rPr>
                <w:b/>
                <w:bCs/>
                <w:color w:val="0F3D2B"/>
                <w:sz w:val="20"/>
                <w:szCs w:val="20"/>
              </w:rPr>
              <w:t xml:space="preserve">Email Etiquette</w:t>
            </w:r>
          </w:p>
        </w:tc>
        <w:tc>
          <w:tcPr>
            <w:tcW w:type="dxa" w:w="7000"/>
          </w:tcPr>
          <w:p>
            <w:r>
              <w:rPr>
                <w:sz w:val="20"/>
                <w:szCs w:val="20"/>
              </w:rPr>
              <w:t xml:space="preserve">Please include your first and last name and student ID number in every email.</w:t>
            </w:r>
          </w:p>
        </w:tc>
      </w:tr>
    </w:tbl>
    <w:p>
      <w:pPr>
        <w:spacing w:after="120"/>
      </w:pPr>
      <w:r>
        <w:rPr>
          <w:sz w:val="22"/>
          <w:szCs w:val="22"/>
        </w:rPr>
        <w:t xml:space="preserve"/>
      </w:r>
    </w:p>
    <w:p>
      <w:pPr>
        <w:pStyle w:val="Heading1"/>
        <w:pBdr>
          <w:bottom w:val="single" w:color="0F3D2B" w:sz="6" w:space="4"/>
        </w:pBdr>
        <w:spacing w:after="160" w:before="320"/>
      </w:pPr>
      <w:r>
        <w:rPr>
          <w:b/>
          <w:bCs/>
          <w:color w:val="0F3D2B"/>
          <w:sz w:val="28"/>
          <w:szCs w:val="28"/>
        </w:rPr>
        <w:t xml:space="preserve">Course Description</w:t>
      </w:r>
    </w:p>
    <w:p>
      <w:pPr>
        <w:spacing w:after="120"/>
      </w:pPr>
      <w:r>
        <w:rPr>
          <w:sz w:val="22"/>
          <w:szCs w:val="22"/>
        </w:rPr>
        <w:t xml:space="preserve">In this course, you'll explore how Black women — especially African American women — are portrayed in the media all around us: music, poetry, literature, film, social media, and visual art like painting, photography, and sculpture. You'll pay close attention to work made by Black creators about Black women, looking at the stories, images, and songs that shape how Black womanhood gets seen. No prior background in African American or media studies is required. By the end, you'll be equipped to critically consider and draw evidence-based conclusions about racial- and gender-based stereotypes, agency, and representation in media.</w:t>
      </w:r>
    </w:p>
    <w:p>
      <w:pPr>
        <w:spacing w:after="120"/>
      </w:pPr>
      <w:r>
        <w:rPr>
          <w:i w:val="false"/>
          <w:iCs w:val="false"/>
          <w:sz w:val="22"/>
          <w:szCs w:val="22"/>
        </w:rPr>
        <w:t xml:space="preserve">The core question you'll keep coming back to all semester is simple to ask and hard to fully answer:</w:t>
      </w:r>
    </w:p>
    <w:p>
      <w:pPr>
        <w:spacing w:after="200"/>
        <w:ind w:left="400"/>
      </w:pPr>
      <w:r>
        <w:rPr>
          <w:b/>
          <w:bCs/>
          <w:i/>
          <w:iCs/>
          <w:color w:val="0F3D2B"/>
          <w:sz w:val="23"/>
          <w:szCs w:val="23"/>
        </w:rPr>
        <w:t xml:space="preserve">“How is the Black woman being represented?”</w:t>
      </w:r>
    </w:p>
    <w:p>
      <w:pPr>
        <w:pStyle w:val="Heading1"/>
        <w:pBdr>
          <w:bottom w:val="single" w:color="0F3D2B" w:sz="6" w:space="4"/>
        </w:pBdr>
        <w:spacing w:after="160" w:before="320"/>
      </w:pPr>
      <w:r>
        <w:rPr>
          <w:b/>
          <w:bCs/>
          <w:color w:val="0F3D2B"/>
          <w:sz w:val="28"/>
          <w:szCs w:val="28"/>
        </w:rPr>
        <w:t xml:space="preserve">What You'll Be Able to Do by the End</w:t>
      </w:r>
    </w:p>
    <w:p>
      <w:pPr>
        <w:pStyle w:val="ListParagraph"/>
        <w:numPr>
          <w:ilvl w:val="0"/>
          <w:numId w:val="2"/>
        </w:numPr>
        <w:spacing w:after="60"/>
      </w:pPr>
      <w:r>
        <w:rPr>
          <w:sz w:val="22"/>
          <w:szCs w:val="22"/>
        </w:rPr>
        <w:t xml:space="preserve">Build a clear, research-backed argument about how a Black woman is represented in a media work you choose, using credible sources to support your point.</w:t>
      </w:r>
    </w:p>
    <w:p>
      <w:pPr>
        <w:pStyle w:val="ListParagraph"/>
        <w:numPr>
          <w:ilvl w:val="0"/>
          <w:numId w:val="2"/>
        </w:numPr>
        <w:spacing w:after="60"/>
      </w:pPr>
      <w:r>
        <w:rPr>
          <w:sz w:val="22"/>
          <w:szCs w:val="22"/>
        </w:rPr>
        <w:t xml:space="preserve">Identify and critically evaluate major stereotypes and tropes associated with the representation of Black women in media (e.g., Mammy, Jezebel, the "angry Black woman," colorism/light-skin bias).</w:t>
      </w:r>
    </w:p>
    <w:p>
      <w:pPr>
        <w:pStyle w:val="ListParagraph"/>
        <w:numPr>
          <w:ilvl w:val="0"/>
          <w:numId w:val="2"/>
        </w:numPr>
        <w:spacing w:after="60"/>
      </w:pPr>
      <w:r>
        <w:rPr>
          <w:sz w:val="22"/>
          <w:szCs w:val="22"/>
        </w:rPr>
        <w:t xml:space="preserve">Build cultural awareness and compassion for engaging with representation and bias in news, advertising, and entertainment media.</w:t>
      </w:r>
    </w:p>
    <w:p>
      <w:pPr>
        <w:pStyle w:val="ListParagraph"/>
        <w:numPr>
          <w:ilvl w:val="0"/>
          <w:numId w:val="2"/>
        </w:numPr>
        <w:spacing w:after="60"/>
      </w:pPr>
      <w:r>
        <w:rPr>
          <w:sz w:val="22"/>
          <w:szCs w:val="22"/>
        </w:rPr>
        <w:t xml:space="preserve">Conduct independent research using scholarly, historical, and creator-background sources, and cite that research properly using APA (7th edition) format.</w:t>
      </w:r>
    </w:p>
    <w:p>
      <w:pPr>
        <w:pStyle w:val="ListParagraph"/>
        <w:numPr>
          <w:ilvl w:val="0"/>
          <w:numId w:val="2"/>
        </w:numPr>
        <w:spacing w:after="60"/>
      </w:pPr>
      <w:r>
        <w:rPr>
          <w:sz w:val="22"/>
          <w:szCs w:val="22"/>
        </w:rPr>
        <w:t xml:space="preserve">Evaluate the strengths and limitations of AI tools when used for research and analysis of race- and gender-based representation.</w:t>
      </w:r>
    </w:p>
    <w:p>
      <w:pPr>
        <w:pStyle w:val="Heading1"/>
        <w:pBdr>
          <w:bottom w:val="single" w:color="0F3D2B" w:sz="6" w:space="4"/>
        </w:pBdr>
        <w:spacing w:after="160" w:before="320"/>
      </w:pPr>
      <w:r>
        <w:rPr>
          <w:b/>
          <w:bCs/>
          <w:color w:val="0F3D2B"/>
          <w:sz w:val="28"/>
          <w:szCs w:val="28"/>
        </w:rPr>
        <w:t xml:space="preserve">Materials</w:t>
      </w:r>
    </w:p>
    <w:p>
      <w:pPr>
        <w:pStyle w:val="ListParagraph"/>
        <w:numPr>
          <w:ilvl w:val="0"/>
          <w:numId w:val="2"/>
        </w:numPr>
        <w:spacing w:after="60"/>
      </w:pPr>
      <w:r>
        <w:rPr>
          <w:sz w:val="22"/>
          <w:szCs w:val="22"/>
        </w:rPr>
        <w:t xml:space="preserve">Zora Neale Hurston, Their Eyes Were Watching God (1937) — this is the one required purchase for the course. Used copies are available from ThriftBooks for around $6.49.</w:t>
      </w:r>
    </w:p>
    <w:p>
      <w:pPr>
        <w:pStyle w:val="ListParagraph"/>
        <w:numPr>
          <w:ilvl w:val="0"/>
          <w:numId w:val="2"/>
        </w:numPr>
        <w:spacing w:after="60"/>
      </w:pPr>
      <w:r>
        <w:rPr>
          <w:sz w:val="22"/>
          <w:szCs w:val="22"/>
        </w:rPr>
        <w:t xml:space="preserve">Access to a free AI chatbot (e.g., Claude, Microsoft Copilot, or ChatGPT). A free tier is all you need — a paid subscription is never required, though you're welcome to use one if you prefer.</w:t>
      </w:r>
    </w:p>
    <w:p>
      <w:pPr>
        <w:spacing w:after="120"/>
      </w:pPr>
      <w:r>
        <w:rPr>
          <w:i/>
          <w:iCs/>
          <w:color w:val="666666"/>
          <w:sz w:val="20"/>
          <w:szCs w:val="20"/>
        </w:rPr>
        <w:t xml:space="preserve">Other readings and videos are required throughout the semester, but you won't need to purchase anything else — each one will be provided as a free link within its unit when it comes up.</w:t>
      </w:r>
    </w:p>
    <w:p>
      <w:pPr>
        <w:pStyle w:val="Heading1"/>
        <w:pBdr>
          <w:bottom w:val="single" w:color="0F3D2B" w:sz="6" w:space="4"/>
        </w:pBdr>
        <w:spacing w:after="160" w:before="320"/>
      </w:pPr>
      <w:r>
        <w:rPr>
          <w:b/>
          <w:bCs/>
          <w:color w:val="0F3D2B"/>
          <w:sz w:val="28"/>
          <w:szCs w:val="28"/>
        </w:rPr>
        <w:t xml:space="preserve">Content Warning</w:t>
      </w:r>
    </w:p>
    <w:p>
      <w:pPr>
        <w:pStyle w:val="ListParagraph"/>
        <w:numPr>
          <w:ilvl w:val="0"/>
          <w:numId w:val="2"/>
        </w:numPr>
        <w:spacing w:after="60"/>
      </w:pPr>
      <w:r>
        <w:rPr>
          <w:sz w:val="22"/>
          <w:szCs w:val="22"/>
        </w:rPr>
        <w:t xml:space="preserve">Unit 1 "The Urgency of Intersectionality" Disclaimer: Includes discussion of race and gender in relation to police brutality; if uncomfortable with subject matter, you can skip.</w:t>
      </w:r>
    </w:p>
    <w:p>
      <w:pPr>
        <w:pStyle w:val="ListParagraph"/>
        <w:numPr>
          <w:ilvl w:val="0"/>
          <w:numId w:val="2"/>
        </w:numPr>
        <w:spacing w:after="60"/>
      </w:pPr>
      <w:r>
        <w:rPr>
          <w:sz w:val="22"/>
          <w:szCs w:val="22"/>
        </w:rPr>
        <w:t xml:space="preserve">Unit 8 — Sinners contains sensitive language, sexual scenes, and depictions of religious beliefs. If this content is difficult for you, an alternate assignment is available — come talk to me during office hours to discuss it.</w:t>
      </w:r>
    </w:p>
    <w:p>
      <w:pPr>
        <w:pStyle w:val="Heading1"/>
        <w:pBdr>
          <w:bottom w:val="single" w:color="0F3D2B" w:sz="6" w:space="4"/>
        </w:pBdr>
        <w:spacing w:after="160" w:before="320"/>
      </w:pPr>
      <w:r>
        <w:rPr>
          <w:b/>
          <w:bCs/>
          <w:color w:val="0F3D2B"/>
          <w:sz w:val="28"/>
          <w:szCs w:val="28"/>
        </w:rPr>
        <w:t xml:space="preserve">Grading Policy</w:t>
      </w:r>
    </w:p>
    <w:p>
      <w:pPr>
        <w:spacing w:after="120"/>
      </w:pPr>
      <w:r>
        <w:rPr>
          <w:sz w:val="22"/>
          <w:szCs w:val="22"/>
        </w:rPr>
        <w:t xml:space="preserve">Your final grade is based on total points earned across the assignments below. Here's how those points break down: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400"/>
        <w:gridCol w:w="2000"/>
      </w:tblGrid>
      <w:tr>
        <w:trPr>
          <w:tblHeader/>
        </w:trPr>
        <w:tc>
          <w:tcPr>
            <w:tcW w:type="dxa" w:w="7400"/>
            <w:shd w:fill="0F3D2B" w:val="clear"/>
          </w:tcPr>
          <w:p>
            <w:r>
              <w:rPr>
                <w:b/>
                <w:bCs/>
                <w:color w:val="FFFFFF"/>
                <w:sz w:val="20"/>
                <w:szCs w:val="20"/>
              </w:rPr>
              <w:t xml:space="preserve">Assignment</w:t>
            </w:r>
          </w:p>
        </w:tc>
        <w:tc>
          <w:tcPr>
            <w:tcW w:type="dxa" w:w="2000"/>
            <w:shd w:fill="0F3D2B" w:val="clear"/>
          </w:tcPr>
          <w:p>
            <w:pPr>
              <w:jc w:val="center"/>
            </w:pPr>
            <w:r>
              <w:rPr>
                <w:b/>
                <w:bCs/>
                <w:color w:val="FFFFFF"/>
                <w:sz w:val="20"/>
                <w:szCs w:val="20"/>
              </w:rPr>
              <w:t xml:space="preserve">Points</w:t>
            </w:r>
          </w:p>
        </w:tc>
      </w:tr>
      <w:tr>
        <w:trPr>
          <w:tblHeader w:val="false"/>
        </w:trPr>
        <w:tc>
          <w:tcPr>
            <w:tcW w:type="dxa" w:w="7400"/>
            <w:shd w:fill="FFFFFF" w:val="clear"/>
          </w:tcPr>
          <w:p>
            <w:r>
              <w:rPr>
                <w:b w:val="false"/>
                <w:bCs w:val="false"/>
                <w:color w:val="000000"/>
                <w:sz w:val="20"/>
                <w:szCs w:val="20"/>
              </w:rPr>
              <w:t xml:space="preserve">Attendance (5 pts/class, out of 60 total)</w:t>
            </w:r>
          </w:p>
        </w:tc>
        <w:tc>
          <w:tcPr>
            <w:tcW w:type="dxa" w:w="2000"/>
            <w:shd w:fill="FFFFFF" w:val="clear"/>
          </w:tcPr>
          <w:p>
            <w:pPr>
              <w:jc w:val="center"/>
            </w:pPr>
            <w:r>
              <w:rPr>
                <w:b w:val="false"/>
                <w:bCs w:val="false"/>
                <w:color w:val="000000"/>
                <w:sz w:val="20"/>
                <w:szCs w:val="20"/>
              </w:rPr>
              <w:t xml:space="preserve">60</w:t>
            </w:r>
          </w:p>
        </w:tc>
      </w:tr>
      <w:tr>
        <w:trPr>
          <w:tblHeader w:val="false"/>
        </w:trPr>
        <w:tc>
          <w:tcPr>
            <w:tcW w:type="dxa" w:w="7400"/>
            <w:shd w:fill="FFFFFF" w:val="clear"/>
          </w:tcPr>
          <w:p>
            <w:r>
              <w:rPr>
                <w:b w:val="false"/>
                <w:bCs w:val="false"/>
                <w:color w:val="000000"/>
                <w:sz w:val="20"/>
                <w:szCs w:val="20"/>
              </w:rPr>
              <w:t xml:space="preserve">Unit 1: Subject Introduction — Discussion Post + 2 Replies (10 for post, 5 per reply)</w:t>
            </w:r>
          </w:p>
        </w:tc>
        <w:tc>
          <w:tcPr>
            <w:tcW w:type="dxa" w:w="2000"/>
            <w:shd w:fill="FFFFFF" w:val="clear"/>
          </w:tcPr>
          <w:p>
            <w:pPr>
              <w:jc w:val="center"/>
            </w:pPr>
            <w:r>
              <w:rPr>
                <w:b w:val="false"/>
                <w:bCs w:val="false"/>
                <w:color w:val="000000"/>
                <w:sz w:val="20"/>
                <w:szCs w:val="20"/>
              </w:rPr>
              <w:t xml:space="preserve">20</w:t>
            </w:r>
          </w:p>
        </w:tc>
      </w:tr>
      <w:tr>
        <w:trPr>
          <w:tblHeader w:val="false"/>
        </w:trPr>
        <w:tc>
          <w:tcPr>
            <w:tcW w:type="dxa" w:w="7400"/>
            <w:shd w:fill="FFFFFF" w:val="clear"/>
          </w:tcPr>
          <w:p>
            <w:r>
              <w:rPr>
                <w:b w:val="false"/>
                <w:bCs w:val="false"/>
                <w:color w:val="000000"/>
                <w:sz w:val="20"/>
                <w:szCs w:val="20"/>
              </w:rPr>
              <w:t xml:space="preserve">Unit 2: Media Foundations — Media Analysis Vocabulary Worksheet</w:t>
            </w:r>
          </w:p>
        </w:tc>
        <w:tc>
          <w:tcPr>
            <w:tcW w:type="dxa" w:w="2000"/>
            <w:shd w:fill="FFFFFF" w:val="clear"/>
          </w:tcPr>
          <w:p>
            <w:pPr>
              <w:jc w:val="center"/>
            </w:pPr>
            <w:r>
              <w:rPr>
                <w:b w:val="false"/>
                <w:bCs w:val="false"/>
                <w:color w:val="000000"/>
                <w:sz w:val="20"/>
                <w:szCs w:val="20"/>
              </w:rPr>
              <w:t xml:space="preserve">20</w:t>
            </w:r>
          </w:p>
        </w:tc>
      </w:tr>
      <w:tr>
        <w:trPr>
          <w:tblHeader w:val="false"/>
        </w:trPr>
        <w:tc>
          <w:tcPr>
            <w:tcW w:type="dxa" w:w="7400"/>
            <w:shd w:fill="FFFFFF" w:val="clear"/>
          </w:tcPr>
          <w:p>
            <w:r>
              <w:rPr>
                <w:b w:val="false"/>
                <w:bCs w:val="false"/>
                <w:color w:val="000000"/>
                <w:sz w:val="20"/>
                <w:szCs w:val="20"/>
              </w:rPr>
              <w:t xml:space="preserve">Unit 2: Media Foundations — Discussion Post + 2 Replies (Tropes in TV)</w:t>
            </w:r>
          </w:p>
        </w:tc>
        <w:tc>
          <w:tcPr>
            <w:tcW w:type="dxa" w:w="2000"/>
            <w:shd w:fill="FFFFFF" w:val="clear"/>
          </w:tcPr>
          <w:p>
            <w:pPr>
              <w:jc w:val="center"/>
            </w:pPr>
            <w:r>
              <w:rPr>
                <w:b w:val="false"/>
                <w:bCs w:val="false"/>
                <w:color w:val="000000"/>
                <w:sz w:val="20"/>
                <w:szCs w:val="20"/>
              </w:rPr>
              <w:t xml:space="preserve">20</w:t>
            </w:r>
          </w:p>
        </w:tc>
      </w:tr>
      <w:tr>
        <w:trPr>
          <w:tblHeader w:val="false"/>
        </w:trPr>
        <w:tc>
          <w:tcPr>
            <w:tcW w:type="dxa" w:w="7400"/>
            <w:shd w:fill="FFFFFF" w:val="clear"/>
          </w:tcPr>
          <w:p>
            <w:r>
              <w:rPr>
                <w:b w:val="false"/>
                <w:bCs w:val="false"/>
                <w:color w:val="000000"/>
                <w:sz w:val="20"/>
                <w:szCs w:val="20"/>
              </w:rPr>
              <w:t xml:space="preserve">Unit 3: Poems — Case Study 1</w:t>
            </w:r>
          </w:p>
        </w:tc>
        <w:tc>
          <w:tcPr>
            <w:tcW w:type="dxa" w:w="2000"/>
            <w:shd w:fill="FFFFFF" w:val="clear"/>
          </w:tcPr>
          <w:p>
            <w:pPr>
              <w:jc w:val="center"/>
            </w:pPr>
            <w:r>
              <w:rPr>
                <w:b w:val="false"/>
                <w:bCs w:val="false"/>
                <w:color w:val="000000"/>
                <w:sz w:val="20"/>
                <w:szCs w:val="20"/>
              </w:rPr>
              <w:t xml:space="preserve">30</w:t>
            </w:r>
          </w:p>
        </w:tc>
      </w:tr>
      <w:tr>
        <w:trPr>
          <w:tblHeader w:val="false"/>
        </w:trPr>
        <w:tc>
          <w:tcPr>
            <w:tcW w:type="dxa" w:w="7400"/>
            <w:shd w:fill="FFFFFF" w:val="clear"/>
          </w:tcPr>
          <w:p>
            <w:r>
              <w:rPr>
                <w:b w:val="false"/>
                <w:bCs w:val="false"/>
                <w:color w:val="000000"/>
                <w:sz w:val="20"/>
                <w:szCs w:val="20"/>
              </w:rPr>
              <w:t xml:space="preserve">Unit 4: TikTok/Meme — Case Study 2</w:t>
            </w:r>
          </w:p>
        </w:tc>
        <w:tc>
          <w:tcPr>
            <w:tcW w:type="dxa" w:w="2000"/>
            <w:shd w:fill="FFFFFF" w:val="clear"/>
          </w:tcPr>
          <w:p>
            <w:pPr>
              <w:jc w:val="center"/>
            </w:pPr>
            <w:r>
              <w:rPr>
                <w:b w:val="false"/>
                <w:bCs w:val="false"/>
                <w:color w:val="000000"/>
                <w:sz w:val="20"/>
                <w:szCs w:val="20"/>
              </w:rPr>
              <w:t xml:space="preserve">30</w:t>
            </w:r>
          </w:p>
        </w:tc>
      </w:tr>
      <w:tr>
        <w:trPr>
          <w:tblHeader w:val="false"/>
        </w:trPr>
        <w:tc>
          <w:tcPr>
            <w:tcW w:type="dxa" w:w="7400"/>
            <w:shd w:fill="FFFFFF" w:val="clear"/>
          </w:tcPr>
          <w:p>
            <w:r>
              <w:rPr>
                <w:b w:val="false"/>
                <w:bCs w:val="false"/>
                <w:color w:val="000000"/>
                <w:sz w:val="20"/>
                <w:szCs w:val="20"/>
              </w:rPr>
              <w:t xml:space="preserve">Unit 5: Literature — Socratic Circle (In-Class Discussion + 250-word Reflection)</w:t>
            </w:r>
          </w:p>
        </w:tc>
        <w:tc>
          <w:tcPr>
            <w:tcW w:type="dxa" w:w="2000"/>
            <w:shd w:fill="FFFFFF" w:val="clear"/>
          </w:tcPr>
          <w:p>
            <w:pPr>
              <w:jc w:val="center"/>
            </w:pPr>
            <w:r>
              <w:rPr>
                <w:b w:val="false"/>
                <w:bCs w:val="false"/>
                <w:color w:val="000000"/>
                <w:sz w:val="20"/>
                <w:szCs w:val="20"/>
              </w:rPr>
              <w:t xml:space="preserve">20</w:t>
            </w:r>
          </w:p>
        </w:tc>
      </w:tr>
      <w:tr>
        <w:trPr>
          <w:tblHeader w:val="false"/>
        </w:trPr>
        <w:tc>
          <w:tcPr>
            <w:tcW w:type="dxa" w:w="7400"/>
            <w:shd w:fill="FFFFFF" w:val="clear"/>
          </w:tcPr>
          <w:p>
            <w:r>
              <w:rPr>
                <w:b w:val="false"/>
                <w:bCs w:val="false"/>
                <w:color w:val="000000"/>
                <w:sz w:val="20"/>
                <w:szCs w:val="20"/>
              </w:rPr>
              <w:t xml:space="preserve">Mid-Semester Quiz</w:t>
            </w:r>
          </w:p>
        </w:tc>
        <w:tc>
          <w:tcPr>
            <w:tcW w:type="dxa" w:w="2000"/>
            <w:shd w:fill="FFFFFF" w:val="clear"/>
          </w:tcPr>
          <w:p>
            <w:pPr>
              <w:jc w:val="center"/>
            </w:pPr>
            <w:r>
              <w:rPr>
                <w:b w:val="false"/>
                <w:bCs w:val="false"/>
                <w:color w:val="000000"/>
                <w:sz w:val="20"/>
                <w:szCs w:val="20"/>
              </w:rPr>
              <w:t xml:space="preserve">40</w:t>
            </w:r>
          </w:p>
        </w:tc>
      </w:tr>
      <w:tr>
        <w:trPr>
          <w:tblHeader w:val="false"/>
        </w:trPr>
        <w:tc>
          <w:tcPr>
            <w:tcW w:type="dxa" w:w="7400"/>
            <w:shd w:fill="FFFFFF" w:val="clear"/>
          </w:tcPr>
          <w:p>
            <w:r>
              <w:rPr>
                <w:b w:val="false"/>
                <w:bCs w:val="false"/>
                <w:color w:val="000000"/>
                <w:sz w:val="20"/>
                <w:szCs w:val="20"/>
              </w:rPr>
              <w:t xml:space="preserve">Unit 6: Visual Art — Looking Between — Mini Assignment</w:t>
            </w:r>
          </w:p>
        </w:tc>
        <w:tc>
          <w:tcPr>
            <w:tcW w:type="dxa" w:w="2000"/>
            <w:shd w:fill="FFFFFF" w:val="clear"/>
          </w:tcPr>
          <w:p>
            <w:pPr>
              <w:jc w:val="center"/>
            </w:pPr>
            <w:r>
              <w:rPr>
                <w:b w:val="false"/>
                <w:bCs w:val="false"/>
                <w:color w:val="000000"/>
                <w:sz w:val="20"/>
                <w:szCs w:val="20"/>
              </w:rPr>
              <w:t xml:space="preserve">20</w:t>
            </w:r>
          </w:p>
        </w:tc>
      </w:tr>
      <w:tr>
        <w:trPr>
          <w:tblHeader w:val="false"/>
        </w:trPr>
        <w:tc>
          <w:tcPr>
            <w:tcW w:type="dxa" w:w="7400"/>
            <w:shd w:fill="FFFFFF" w:val="clear"/>
          </w:tcPr>
          <w:p>
            <w:r>
              <w:rPr>
                <w:b w:val="false"/>
                <w:bCs w:val="false"/>
                <w:color w:val="000000"/>
                <w:sz w:val="20"/>
                <w:szCs w:val="20"/>
              </w:rPr>
              <w:t xml:space="preserve">Unit 7: Music Video/Lyrics — Case Study 3</w:t>
            </w:r>
          </w:p>
        </w:tc>
        <w:tc>
          <w:tcPr>
            <w:tcW w:type="dxa" w:w="2000"/>
            <w:shd w:fill="FFFFFF" w:val="clear"/>
          </w:tcPr>
          <w:p>
            <w:pPr>
              <w:jc w:val="center"/>
            </w:pPr>
            <w:r>
              <w:rPr>
                <w:b w:val="false"/>
                <w:bCs w:val="false"/>
                <w:color w:val="000000"/>
                <w:sz w:val="20"/>
                <w:szCs w:val="20"/>
              </w:rPr>
              <w:t xml:space="preserve">30</w:t>
            </w:r>
          </w:p>
        </w:tc>
      </w:tr>
      <w:tr>
        <w:trPr>
          <w:tblHeader w:val="false"/>
        </w:trPr>
        <w:tc>
          <w:tcPr>
            <w:tcW w:type="dxa" w:w="7400"/>
            <w:shd w:fill="FFFFFF" w:val="clear"/>
          </w:tcPr>
          <w:p>
            <w:r>
              <w:rPr>
                <w:b w:val="false"/>
                <w:bCs w:val="false"/>
                <w:color w:val="000000"/>
                <w:sz w:val="20"/>
                <w:szCs w:val="20"/>
              </w:rPr>
              <w:t xml:space="preserve">Unit 8: Movie — Sinners Mini Assignment</w:t>
            </w:r>
          </w:p>
        </w:tc>
        <w:tc>
          <w:tcPr>
            <w:tcW w:type="dxa" w:w="2000"/>
            <w:shd w:fill="FFFFFF" w:val="clear"/>
          </w:tcPr>
          <w:p>
            <w:pPr>
              <w:jc w:val="center"/>
            </w:pPr>
            <w:r>
              <w:rPr>
                <w:b w:val="false"/>
                <w:bCs w:val="false"/>
                <w:color w:val="000000"/>
                <w:sz w:val="20"/>
                <w:szCs w:val="20"/>
              </w:rPr>
              <w:t xml:space="preserve">20</w:t>
            </w:r>
          </w:p>
        </w:tc>
      </w:tr>
      <w:tr>
        <w:trPr>
          <w:tblHeader w:val="false"/>
        </w:trPr>
        <w:tc>
          <w:tcPr>
            <w:tcW w:type="dxa" w:w="7400"/>
            <w:shd w:fill="FFFFFF" w:val="clear"/>
          </w:tcPr>
          <w:p>
            <w:r>
              <w:rPr>
                <w:b w:val="false"/>
                <w:bCs w:val="false"/>
                <w:color w:val="000000"/>
                <w:sz w:val="20"/>
                <w:szCs w:val="20"/>
              </w:rPr>
              <w:t xml:space="preserve">Final: Being Seen — The Presentation — Presentation (70) + Reflection (30)</w:t>
            </w:r>
          </w:p>
        </w:tc>
        <w:tc>
          <w:tcPr>
            <w:tcW w:type="dxa" w:w="2000"/>
            <w:shd w:fill="FFFFFF" w:val="clear"/>
          </w:tcPr>
          <w:p>
            <w:pPr>
              <w:jc w:val="center"/>
            </w:pPr>
            <w:r>
              <w:rPr>
                <w:b w:val="false"/>
                <w:bCs w:val="false"/>
                <w:color w:val="000000"/>
                <w:sz w:val="20"/>
                <w:szCs w:val="20"/>
              </w:rPr>
              <w:t xml:space="preserve">100</w:t>
            </w:r>
          </w:p>
        </w:tc>
      </w:tr>
      <w:tr>
        <w:trPr>
          <w:tblHeader w:val="false"/>
        </w:trPr>
        <w:tc>
          <w:tcPr>
            <w:tcW w:type="dxa" w:w="7400"/>
            <w:shd w:fill="FFFFFF" w:val="clear"/>
          </w:tcPr>
          <w:p>
            <w:r>
              <w:rPr>
                <w:b w:val="false"/>
                <w:bCs w:val="false"/>
                <w:color w:val="000000"/>
                <w:sz w:val="20"/>
                <w:szCs w:val="20"/>
              </w:rPr>
              <w:t xml:space="preserve">Changing Perspectives Mini-Project (due 12/1)</w:t>
            </w:r>
          </w:p>
        </w:tc>
        <w:tc>
          <w:tcPr>
            <w:tcW w:type="dxa" w:w="2000"/>
            <w:shd w:fill="FFFFFF" w:val="clear"/>
          </w:tcPr>
          <w:p>
            <w:pPr>
              <w:jc w:val="center"/>
            </w:pPr>
            <w:r>
              <w:rPr>
                <w:b w:val="false"/>
                <w:bCs w:val="false"/>
                <w:color w:val="000000"/>
                <w:sz w:val="20"/>
                <w:szCs w:val="20"/>
              </w:rPr>
              <w:t xml:space="preserve">40</w:t>
            </w:r>
          </w:p>
        </w:tc>
      </w:tr>
      <w:tr>
        <w:trPr>
          <w:tblHeader/>
        </w:trPr>
        <w:tc>
          <w:tcPr>
            <w:tcW w:type="dxa" w:w="7400"/>
            <w:shd w:fill="0F3D2B" w:val="clear"/>
          </w:tcPr>
          <w:p>
            <w:r>
              <w:rPr>
                <w:b/>
                <w:bCs/>
                <w:color w:val="FFFFFF"/>
                <w:sz w:val="20"/>
                <w:szCs w:val="20"/>
              </w:rPr>
              <w:t xml:space="preserve">Total Points Possible</w:t>
            </w:r>
          </w:p>
        </w:tc>
        <w:tc>
          <w:tcPr>
            <w:tcW w:type="dxa" w:w="2000"/>
            <w:shd w:fill="0F3D2B" w:val="clear"/>
          </w:tcPr>
          <w:p>
            <w:pPr>
              <w:jc w:val="center"/>
            </w:pPr>
            <w:r>
              <w:rPr>
                <w:b/>
                <w:bCs/>
                <w:color w:val="FFFFFF"/>
                <w:sz w:val="20"/>
                <w:szCs w:val="20"/>
              </w:rPr>
              <w:t xml:space="preserve">450</w:t>
            </w:r>
          </w:p>
        </w:tc>
      </w:tr>
    </w:tbl>
    <w:p>
      <w:pPr>
        <w:spacing w:after="120"/>
      </w:pPr>
      <w:r>
        <w:rPr>
          <w:sz w:val="22"/>
          <w:szCs w:val="22"/>
        </w:rPr>
        <w:t xml:space="preserve"/>
      </w:r>
    </w:p>
    <w:p>
      <w:pPr>
        <w:spacing w:after="120"/>
      </w:pPr>
      <w:r>
        <w:rPr>
          <w:sz w:val="22"/>
          <w:szCs w:val="22"/>
        </w:rPr>
        <w:t xml:space="preserve">Across the semester, you'll complete discussion posts, 3 case studies, 3 mini assignments (Looking Between, the Sinners Mini Assignment, and the Changing Perspectives Mini-Project), 1 mid-semester quiz, and a final presentation.</w:t>
      </w:r>
    </w:p>
    <w:p>
      <w:pPr>
        <w:spacing w:after="120"/>
      </w:pPr>
      <w:r>
        <w:rPr>
          <w:sz w:val="22"/>
          <w:szCs w:val="22"/>
        </w:rPr>
        <w:t xml:space="preserve">Discussion posts (Units 1 and 2) are each worth 20 points, split between the post itself (10 pts) and 2 required replies to classmates (5 pts each). Your original post and your replies are all due the same Sunday — the post does not need to go up on a separate, earlier day.</w:t>
      </w:r>
    </w:p>
    <w:p>
      <w:pPr>
        <w:spacing w:after="120"/>
      </w:pPr>
      <w:r>
        <w:rPr>
          <w:sz w:val="22"/>
          <w:szCs w:val="22"/>
        </w:rPr>
        <w:t xml:space="preserve">Each case study (Units 3, 4, and 7) is graded the same way, out of 30 points:</w:t>
      </w:r>
    </w:p>
    <w:p>
      <w:pPr>
        <w:pStyle w:val="ListParagraph"/>
        <w:numPr>
          <w:ilvl w:val="0"/>
          <w:numId w:val="2"/>
        </w:numPr>
        <w:spacing w:after="60"/>
      </w:pPr>
      <w:r>
        <w:rPr>
          <w:sz w:val="22"/>
          <w:szCs w:val="22"/>
        </w:rPr>
        <w:t xml:space="preserve">Directly addresses how the Black woman in the piece is represented — 10 pts</w:t>
      </w:r>
    </w:p>
    <w:p>
      <w:pPr>
        <w:pStyle w:val="ListParagraph"/>
        <w:numPr>
          <w:ilvl w:val="0"/>
          <w:numId w:val="2"/>
        </w:numPr>
        <w:spacing w:after="60"/>
      </w:pPr>
      <w:r>
        <w:rPr>
          <w:sz w:val="22"/>
          <w:szCs w:val="22"/>
        </w:rPr>
        <w:t xml:space="preserve">Connects to class vocabulary, concepts, and/or relevant notable figures — 10 pts</w:t>
      </w:r>
    </w:p>
    <w:p>
      <w:pPr>
        <w:pStyle w:val="ListParagraph"/>
        <w:numPr>
          <w:ilvl w:val="0"/>
          <w:numId w:val="2"/>
        </w:numPr>
        <w:spacing w:after="60"/>
      </w:pPr>
      <w:r>
        <w:rPr>
          <w:sz w:val="22"/>
          <w:szCs w:val="22"/>
        </w:rPr>
        <w:t xml:space="preserve">Includes historical context and background — 5 pts</w:t>
      </w:r>
    </w:p>
    <w:p>
      <w:pPr>
        <w:pStyle w:val="ListParagraph"/>
        <w:numPr>
          <w:ilvl w:val="0"/>
          <w:numId w:val="2"/>
        </w:numPr>
        <w:spacing w:after="60"/>
      </w:pPr>
      <w:r>
        <w:rPr>
          <w:sz w:val="22"/>
          <w:szCs w:val="22"/>
        </w:rPr>
        <w:t xml:space="preserve">Clear, accurate writing and APA 7th edition citations and AI disclaimer — 5 pts</w:t>
      </w:r>
    </w:p>
    <w:p>
      <w:pPr>
        <w:pStyle w:val="Heading2"/>
        <w:spacing w:after="100" w:before="240"/>
      </w:pPr>
      <w:r>
        <w:rPr>
          <w:b/>
          <w:bCs/>
          <w:color w:val="B08D57"/>
          <w:sz w:val="22"/>
          <w:szCs w:val="22"/>
        </w:rPr>
        <w:t xml:space="preserve">Letter Grade Scale</w:t>
      </w:r>
    </w:p>
    <w:p>
      <w:pPr>
        <w:spacing w:after="120"/>
      </w:pPr>
      <w:r>
        <w:rPr>
          <w:sz w:val="22"/>
          <w:szCs w:val="22"/>
        </w:rPr>
        <w:t xml:space="preserve">Your total points earned, out of 450 points possible, determines your final letter grade: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4"/>
      </w:tblGrid>
      <w:tr>
        <w:trPr>
          <w:tblHeader/>
        </w:trPr>
        <w:tc>
          <w:tcPr>
            <w:shd w:fill="0F3D2B" w:val="clear"/>
          </w:tcPr>
          <w:p>
            <w:r>
              <w:rPr>
                <w:b/>
                <w:bCs/>
                <w:color w:val="FFFFFF"/>
                <w:sz w:val="20"/>
                <w:szCs w:val="20"/>
              </w:rPr>
              <w:t xml:space="preserve">Letter Grade</w:t>
            </w:r>
          </w:p>
        </w:tc>
        <w:tc>
          <w:tcPr>
            <w:shd w:fill="0F3D2B" w:val="clear"/>
          </w:tcPr>
          <w:p>
            <w:r>
              <w:rPr>
                <w:b/>
                <w:bCs/>
                <w:color w:val="FFFFFF"/>
                <w:sz w:val="20"/>
                <w:szCs w:val="20"/>
              </w:rPr>
              <w:t xml:space="preserve">Points (out of 450)</w:t>
            </w:r>
          </w:p>
        </w:tc>
        <w:tc>
          <w:tcPr>
            <w:shd w:fill="0F3D2B" w:val="clear"/>
          </w:tcPr>
          <w:p>
            <w:r>
              <w:rPr>
                <w:b/>
                <w:bCs/>
                <w:color w:val="FFFFFF"/>
                <w:sz w:val="20"/>
                <w:szCs w:val="20"/>
              </w:rPr>
              <w:t xml:space="preserve">Percentage Range</w:t>
            </w:r>
          </w:p>
        </w:tc>
      </w:tr>
      <w:tr>
        <w:trPr>
          <w:tblHeader w:val="false"/>
        </w:trPr>
        <w:tc>
          <w:tcPr>
            <w:shd w:fill="FFFFFF" w:val="clear"/>
          </w:tcPr>
          <w:p>
            <w:r>
              <w:rPr>
                <w:b w:val="false"/>
                <w:bCs w:val="false"/>
                <w:color w:val="000000"/>
                <w:sz w:val="20"/>
                <w:szCs w:val="20"/>
              </w:rPr>
              <w:t xml:space="preserve">A</w:t>
            </w:r>
          </w:p>
        </w:tc>
        <w:tc>
          <w:tcPr>
            <w:shd w:fill="FFFFFF" w:val="clear"/>
          </w:tcPr>
          <w:p>
            <w:r>
              <w:rPr>
                <w:b w:val="false"/>
                <w:bCs w:val="false"/>
                <w:color w:val="000000"/>
                <w:sz w:val="20"/>
                <w:szCs w:val="20"/>
              </w:rPr>
              <w:t xml:space="preserve">405–450</w:t>
            </w:r>
          </w:p>
        </w:tc>
        <w:tc>
          <w:tcPr>
            <w:shd w:fill="FFFFFF" w:val="clear"/>
          </w:tcPr>
          <w:p>
            <w:r>
              <w:rPr>
                <w:b w:val="false"/>
                <w:bCs w:val="false"/>
                <w:color w:val="000000"/>
                <w:sz w:val="20"/>
                <w:szCs w:val="20"/>
              </w:rPr>
              <w:t xml:space="preserve">90–100%</w:t>
            </w:r>
          </w:p>
        </w:tc>
      </w:tr>
      <w:tr>
        <w:trPr>
          <w:tblHeader w:val="false"/>
        </w:trPr>
        <w:tc>
          <w:tcPr>
            <w:shd w:fill="FFFFFF" w:val="clear"/>
          </w:tcPr>
          <w:p>
            <w:r>
              <w:rPr>
                <w:b w:val="false"/>
                <w:bCs w:val="false"/>
                <w:color w:val="000000"/>
                <w:sz w:val="20"/>
                <w:szCs w:val="20"/>
              </w:rPr>
              <w:t xml:space="preserve">B+</w:t>
            </w:r>
          </w:p>
        </w:tc>
        <w:tc>
          <w:tcPr>
            <w:shd w:fill="FFFFFF" w:val="clear"/>
          </w:tcPr>
          <w:p>
            <w:r>
              <w:rPr>
                <w:b w:val="false"/>
                <w:bCs w:val="false"/>
                <w:color w:val="000000"/>
                <w:sz w:val="20"/>
                <w:szCs w:val="20"/>
              </w:rPr>
              <w:t xml:space="preserve">396–404</w:t>
            </w:r>
          </w:p>
        </w:tc>
        <w:tc>
          <w:tcPr>
            <w:shd w:fill="FFFFFF" w:val="clear"/>
          </w:tcPr>
          <w:p>
            <w:r>
              <w:rPr>
                <w:b w:val="false"/>
                <w:bCs w:val="false"/>
                <w:color w:val="000000"/>
                <w:sz w:val="20"/>
                <w:szCs w:val="20"/>
              </w:rPr>
              <w:t xml:space="preserve">88–89%</w:t>
            </w:r>
          </w:p>
        </w:tc>
      </w:tr>
      <w:tr>
        <w:trPr>
          <w:tblHeader w:val="false"/>
        </w:trPr>
        <w:tc>
          <w:tcPr>
            <w:shd w:fill="FFFFFF" w:val="clear"/>
          </w:tcPr>
          <w:p>
            <w:r>
              <w:rPr>
                <w:b w:val="false"/>
                <w:bCs w:val="false"/>
                <w:color w:val="000000"/>
                <w:sz w:val="20"/>
                <w:szCs w:val="20"/>
              </w:rPr>
              <w:t xml:space="preserve">B</w:t>
            </w:r>
          </w:p>
        </w:tc>
        <w:tc>
          <w:tcPr>
            <w:shd w:fill="FFFFFF" w:val="clear"/>
          </w:tcPr>
          <w:p>
            <w:r>
              <w:rPr>
                <w:b w:val="false"/>
                <w:bCs w:val="false"/>
                <w:color w:val="000000"/>
                <w:sz w:val="20"/>
                <w:szCs w:val="20"/>
              </w:rPr>
              <w:t xml:space="preserve">378–395</w:t>
            </w:r>
          </w:p>
        </w:tc>
        <w:tc>
          <w:tcPr>
            <w:shd w:fill="FFFFFF" w:val="clear"/>
          </w:tcPr>
          <w:p>
            <w:r>
              <w:rPr>
                <w:b w:val="false"/>
                <w:bCs w:val="false"/>
                <w:color w:val="000000"/>
                <w:sz w:val="20"/>
                <w:szCs w:val="20"/>
              </w:rPr>
              <w:t xml:space="preserve">84–87%</w:t>
            </w:r>
          </w:p>
        </w:tc>
      </w:tr>
      <w:tr>
        <w:trPr>
          <w:tblHeader w:val="false"/>
        </w:trPr>
        <w:tc>
          <w:tcPr>
            <w:shd w:fill="FFFFFF" w:val="clear"/>
          </w:tcPr>
          <w:p>
            <w:r>
              <w:rPr>
                <w:b w:val="false"/>
                <w:bCs w:val="false"/>
                <w:color w:val="000000"/>
                <w:sz w:val="20"/>
                <w:szCs w:val="20"/>
              </w:rPr>
              <w:t xml:space="preserve">B-</w:t>
            </w:r>
          </w:p>
        </w:tc>
        <w:tc>
          <w:tcPr>
            <w:shd w:fill="FFFFFF" w:val="clear"/>
          </w:tcPr>
          <w:p>
            <w:r>
              <w:rPr>
                <w:b w:val="false"/>
                <w:bCs w:val="false"/>
                <w:color w:val="000000"/>
                <w:sz w:val="20"/>
                <w:szCs w:val="20"/>
              </w:rPr>
              <w:t xml:space="preserve">360–377</w:t>
            </w:r>
          </w:p>
        </w:tc>
        <w:tc>
          <w:tcPr>
            <w:shd w:fill="FFFFFF" w:val="clear"/>
          </w:tcPr>
          <w:p>
            <w:r>
              <w:rPr>
                <w:b w:val="false"/>
                <w:bCs w:val="false"/>
                <w:color w:val="000000"/>
                <w:sz w:val="20"/>
                <w:szCs w:val="20"/>
              </w:rPr>
              <w:t xml:space="preserve">80–83%</w:t>
            </w:r>
          </w:p>
        </w:tc>
      </w:tr>
      <w:tr>
        <w:trPr>
          <w:tblHeader w:val="false"/>
        </w:trPr>
        <w:tc>
          <w:tcPr>
            <w:shd w:fill="FFFFFF" w:val="clear"/>
          </w:tcPr>
          <w:p>
            <w:r>
              <w:rPr>
                <w:b w:val="false"/>
                <w:bCs w:val="false"/>
                <w:color w:val="000000"/>
                <w:sz w:val="20"/>
                <w:szCs w:val="20"/>
              </w:rPr>
              <w:t xml:space="preserve">C+</w:t>
            </w:r>
          </w:p>
        </w:tc>
        <w:tc>
          <w:tcPr>
            <w:shd w:fill="FFFFFF" w:val="clear"/>
          </w:tcPr>
          <w:p>
            <w:r>
              <w:rPr>
                <w:b w:val="false"/>
                <w:bCs w:val="false"/>
                <w:color w:val="000000"/>
                <w:sz w:val="20"/>
                <w:szCs w:val="20"/>
              </w:rPr>
              <w:t xml:space="preserve">342–359</w:t>
            </w:r>
          </w:p>
        </w:tc>
        <w:tc>
          <w:tcPr>
            <w:shd w:fill="FFFFFF" w:val="clear"/>
          </w:tcPr>
          <w:p>
            <w:r>
              <w:rPr>
                <w:b w:val="false"/>
                <w:bCs w:val="false"/>
                <w:color w:val="000000"/>
                <w:sz w:val="20"/>
                <w:szCs w:val="20"/>
              </w:rPr>
              <w:t xml:space="preserve">76–79%</w:t>
            </w:r>
          </w:p>
        </w:tc>
      </w:tr>
      <w:tr>
        <w:trPr>
          <w:tblHeader w:val="false"/>
        </w:trPr>
        <w:tc>
          <w:tcPr>
            <w:shd w:fill="FFFFFF" w:val="clear"/>
          </w:tcPr>
          <w:p>
            <w:r>
              <w:rPr>
                <w:b w:val="false"/>
                <w:bCs w:val="false"/>
                <w:color w:val="000000"/>
                <w:sz w:val="20"/>
                <w:szCs w:val="20"/>
              </w:rPr>
              <w:t xml:space="preserve">C</w:t>
            </w:r>
          </w:p>
        </w:tc>
        <w:tc>
          <w:tcPr>
            <w:shd w:fill="FFFFFF" w:val="clear"/>
          </w:tcPr>
          <w:p>
            <w:r>
              <w:rPr>
                <w:b w:val="false"/>
                <w:bCs w:val="false"/>
                <w:color w:val="000000"/>
                <w:sz w:val="20"/>
                <w:szCs w:val="20"/>
              </w:rPr>
              <w:t xml:space="preserve">324–341</w:t>
            </w:r>
          </w:p>
        </w:tc>
        <w:tc>
          <w:tcPr>
            <w:shd w:fill="FFFFFF" w:val="clear"/>
          </w:tcPr>
          <w:p>
            <w:r>
              <w:rPr>
                <w:b w:val="false"/>
                <w:bCs w:val="false"/>
                <w:color w:val="000000"/>
                <w:sz w:val="20"/>
                <w:szCs w:val="20"/>
              </w:rPr>
              <w:t xml:space="preserve">72–75%</w:t>
            </w:r>
          </w:p>
        </w:tc>
      </w:tr>
      <w:tr>
        <w:trPr>
          <w:tblHeader w:val="false"/>
        </w:trPr>
        <w:tc>
          <w:tcPr>
            <w:shd w:fill="FFFFFF" w:val="clear"/>
          </w:tcPr>
          <w:p>
            <w:r>
              <w:rPr>
                <w:b w:val="false"/>
                <w:bCs w:val="false"/>
                <w:color w:val="000000"/>
                <w:sz w:val="20"/>
                <w:szCs w:val="20"/>
              </w:rPr>
              <w:t xml:space="preserve">C-</w:t>
            </w:r>
          </w:p>
        </w:tc>
        <w:tc>
          <w:tcPr>
            <w:shd w:fill="FFFFFF" w:val="clear"/>
          </w:tcPr>
          <w:p>
            <w:r>
              <w:rPr>
                <w:b w:val="false"/>
                <w:bCs w:val="false"/>
                <w:color w:val="000000"/>
                <w:sz w:val="20"/>
                <w:szCs w:val="20"/>
              </w:rPr>
              <w:t xml:space="preserve">315–323</w:t>
            </w:r>
          </w:p>
        </w:tc>
        <w:tc>
          <w:tcPr>
            <w:shd w:fill="FFFFFF" w:val="clear"/>
          </w:tcPr>
          <w:p>
            <w:r>
              <w:rPr>
                <w:b w:val="false"/>
                <w:bCs w:val="false"/>
                <w:color w:val="000000"/>
                <w:sz w:val="20"/>
                <w:szCs w:val="20"/>
              </w:rPr>
              <w:t xml:space="preserve">70–71%</w:t>
            </w:r>
          </w:p>
        </w:tc>
      </w:tr>
      <w:tr>
        <w:trPr>
          <w:tblHeader w:val="false"/>
        </w:trPr>
        <w:tc>
          <w:tcPr>
            <w:shd w:fill="FFFFFF" w:val="clear"/>
          </w:tcPr>
          <w:p>
            <w:r>
              <w:rPr>
                <w:b w:val="false"/>
                <w:bCs w:val="false"/>
                <w:color w:val="000000"/>
                <w:sz w:val="20"/>
                <w:szCs w:val="20"/>
              </w:rPr>
              <w:t xml:space="preserve">D</w:t>
            </w:r>
          </w:p>
        </w:tc>
        <w:tc>
          <w:tcPr>
            <w:shd w:fill="FFFFFF" w:val="clear"/>
          </w:tcPr>
          <w:p>
            <w:r>
              <w:rPr>
                <w:b w:val="false"/>
                <w:bCs w:val="false"/>
                <w:color w:val="000000"/>
                <w:sz w:val="20"/>
                <w:szCs w:val="20"/>
              </w:rPr>
              <w:t xml:space="preserve">270–314</w:t>
            </w:r>
          </w:p>
        </w:tc>
        <w:tc>
          <w:tcPr>
            <w:shd w:fill="FFFFFF" w:val="clear"/>
          </w:tcPr>
          <w:p>
            <w:r>
              <w:rPr>
                <w:b w:val="false"/>
                <w:bCs w:val="false"/>
                <w:color w:val="000000"/>
                <w:sz w:val="20"/>
                <w:szCs w:val="20"/>
              </w:rPr>
              <w:t xml:space="preserve">60–69%</w:t>
            </w:r>
          </w:p>
        </w:tc>
      </w:tr>
      <w:tr>
        <w:trPr>
          <w:tblHeader w:val="false"/>
        </w:trPr>
        <w:tc>
          <w:tcPr>
            <w:shd w:fill="FFFFFF" w:val="clear"/>
          </w:tcPr>
          <w:p>
            <w:r>
              <w:rPr>
                <w:b w:val="false"/>
                <w:bCs w:val="false"/>
                <w:color w:val="000000"/>
                <w:sz w:val="20"/>
                <w:szCs w:val="20"/>
              </w:rPr>
              <w:t xml:space="preserve">F</w:t>
            </w:r>
          </w:p>
        </w:tc>
        <w:tc>
          <w:tcPr>
            <w:shd w:fill="FFFFFF" w:val="clear"/>
          </w:tcPr>
          <w:p>
            <w:r>
              <w:rPr>
                <w:b w:val="false"/>
                <w:bCs w:val="false"/>
                <w:color w:val="000000"/>
                <w:sz w:val="20"/>
                <w:szCs w:val="20"/>
              </w:rPr>
              <w:t xml:space="preserve">Below 270</w:t>
            </w:r>
          </w:p>
        </w:tc>
        <w:tc>
          <w:tcPr>
            <w:shd w:fill="FFFFFF" w:val="clear"/>
          </w:tcPr>
          <w:p>
            <w:r>
              <w:rPr>
                <w:b w:val="false"/>
                <w:bCs w:val="false"/>
                <w:color w:val="000000"/>
                <w:sz w:val="20"/>
                <w:szCs w:val="20"/>
              </w:rPr>
              <w:t xml:space="preserve">Below 60%</w:t>
            </w:r>
          </w:p>
        </w:tc>
      </w:tr>
    </w:tbl>
    <w:p>
      <w:pPr>
        <w:spacing w:after="120"/>
      </w:pPr>
      <w:r>
        <w:rPr>
          <w:sz w:val="22"/>
          <w:szCs w:val="22"/>
        </w:rPr>
        <w:t xml:space="preserve"/>
      </w:r>
    </w:p>
    <w:p>
      <w:pPr>
        <w:pStyle w:val="Heading1"/>
        <w:pBdr>
          <w:bottom w:val="single" w:color="0F3D2B" w:sz="6" w:space="4"/>
        </w:pBdr>
        <w:spacing w:after="160" w:before="320"/>
      </w:pPr>
      <w:r>
        <w:rPr>
          <w:b/>
          <w:bCs/>
          <w:color w:val="0F3D2B"/>
          <w:sz w:val="28"/>
          <w:szCs w:val="28"/>
        </w:rPr>
        <w:t xml:space="preserve">Attendance Policy</w:t>
      </w:r>
    </w:p>
    <w:p>
      <w:pPr>
        <w:spacing w:after="120"/>
      </w:pPr>
      <w:r>
        <w:rPr>
          <w:sz w:val="22"/>
          <w:szCs w:val="22"/>
        </w:rPr>
        <w:t xml:space="preserve">Since this course meets weekly, showing up matters — you'll earn 5 points per class session, 60 points total for the semester. You're allowed to miss one class period during the semester without it affecting your attendance grade. That one free absence is already built into the 60 points — with 13 class sessions offered, you only need to attend 12 to earn full attendance credit. If you do miss a class — whether it's your one free absence or not — please connect with me about what you missed so we can get you caught up.</w:t>
      </w:r>
    </w:p>
    <w:p>
      <w:pPr>
        <w:spacing w:after="120"/>
      </w:pPr>
      <w:r>
        <w:rPr>
          <w:sz w:val="22"/>
          <w:szCs w:val="22"/>
        </w:rPr>
        <w:t xml:space="preserve">If you miss one of the Unit 5 Socratic Circle discussion days, an alternate assignment may be available — this is considered on a case-by-case basis and is not guaranteed. Reach out as soon as possible if this applies to you.</w:t>
      </w:r>
    </w:p>
    <w:p>
      <w:pPr>
        <w:pStyle w:val="Heading1"/>
        <w:pBdr>
          <w:bottom w:val="single" w:color="0F3D2B" w:sz="6" w:space="4"/>
        </w:pBdr>
        <w:spacing w:after="160" w:before="320"/>
      </w:pPr>
      <w:r>
        <w:rPr>
          <w:b/>
          <w:bCs/>
          <w:color w:val="0F3D2B"/>
          <w:sz w:val="28"/>
          <w:szCs w:val="28"/>
        </w:rPr>
        <w:t xml:space="preserve">Late Work / Makeup Policy</w:t>
      </w:r>
    </w:p>
    <w:p>
      <w:pPr>
        <w:pStyle w:val="ListParagraph"/>
        <w:numPr>
          <w:ilvl w:val="0"/>
          <w:numId w:val="2"/>
        </w:numPr>
        <w:spacing w:after="60"/>
      </w:pPr>
      <w:r>
        <w:rPr>
          <w:sz w:val="22"/>
          <w:szCs w:val="22"/>
        </w:rPr>
        <w:t xml:space="preserve">You get two (2) late-work passes during the semester, no penalty, no questions asked — except for the Presentation (final) and the Socratic Circle discussion, which don't qualify since it's graded on live, in-class participation. A late-work pass covers work submitted within 24 hours of the due date. When you use one, just note in your submission that you're using a late-work pass.</w:t>
      </w:r>
    </w:p>
    <w:p>
      <w:pPr>
        <w:pStyle w:val="ListParagraph"/>
        <w:numPr>
          <w:ilvl w:val="0"/>
          <w:numId w:val="2"/>
        </w:numPr>
        <w:spacing w:after="60"/>
      </w:pPr>
      <w:r>
        <w:rPr>
          <w:sz w:val="22"/>
          <w:szCs w:val="22"/>
        </w:rPr>
        <w:t xml:space="preserve">Beyond those two passes: work turned in within 24 hours of the due date gets a 50% deduction.</w:t>
      </w:r>
    </w:p>
    <w:p>
      <w:pPr>
        <w:pStyle w:val="ListParagraph"/>
        <w:numPr>
          <w:ilvl w:val="0"/>
          <w:numId w:val="2"/>
        </w:numPr>
        <w:spacing w:after="60"/>
      </w:pPr>
      <w:r>
        <w:rPr>
          <w:sz w:val="22"/>
          <w:szCs w:val="22"/>
        </w:rPr>
        <w:t xml:space="preserve">Work turned in more than 24 hours late won't be accepted and will receive a zero.</w:t>
      </w:r>
    </w:p>
    <w:p>
      <w:pPr>
        <w:pStyle w:val="Heading1"/>
        <w:pBdr>
          <w:bottom w:val="single" w:color="0F3D2B" w:sz="6" w:space="4"/>
        </w:pBdr>
        <w:spacing w:after="160" w:before="320"/>
      </w:pPr>
      <w:r>
        <w:rPr>
          <w:b/>
          <w:bCs/>
          <w:color w:val="0F3D2B"/>
          <w:sz w:val="28"/>
          <w:szCs w:val="28"/>
        </w:rPr>
        <w:t xml:space="preserve">Artificial Intelligence (AI) Policy</w:t>
      </w:r>
    </w:p>
    <w:p>
      <w:pPr>
        <w:spacing w:after="120"/>
      </w:pPr>
      <w:r>
        <w:rPr>
          <w:sz w:val="22"/>
          <w:szCs w:val="22"/>
        </w:rPr>
        <w:t xml:space="preserve">Pretending AI tools don't exist doesn't prepare you to think critically about when they should or shouldn't be used. In this course, you're allowed to use AI chatbots — specifically Anthropic's Claude, Microsoft Copilot, and ChatGPT. No single tool is required for any assignment. If you use AI on an assignment, you need to disclose it, including a brief note on how you used it. Some assignments narrow or expand this general policy in their own instructions — always check the specific assignment sheet.</w:t>
      </w:r>
    </w:p>
    <w:p>
      <w:pPr>
        <w:spacing w:after="120"/>
      </w:pPr>
      <w:r>
        <w:rPr>
          <w:sz w:val="22"/>
          <w:szCs w:val="22"/>
        </w:rPr>
        <w:t xml:space="preserve">Think of AI as a research assistant, not a ghostwriter. A good research assistant can dig up sources, summarize background, or point you toward context you might've missed — but they don't write your paper for you, and they don't get to decide what you conclude. If AI ends up doing the thinking instead of you, that work isn't really yours anymore.</w:t>
      </w:r>
    </w:p>
    <w:p>
      <w:pPr>
        <w:spacing w:after="120"/>
      </w:pPr>
      <w:r>
        <w:rPr>
          <w:sz w:val="22"/>
          <w:szCs w:val="22"/>
        </w:rPr>
        <w:t xml:space="preserve">AI tools pull from real people's work, so we honor that labor by citing sources properly using APA (7th edition) format. You're responsible for any false or misrepresented information in your work, even if AI produced it.</w:t>
      </w:r>
    </w:p>
    <w:p>
      <w:pPr>
        <w:pStyle w:val="Heading2"/>
        <w:spacing w:after="100" w:before="240"/>
      </w:pPr>
      <w:r>
        <w:rPr>
          <w:b/>
          <w:bCs/>
          <w:color w:val="B08D57"/>
          <w:sz w:val="22"/>
          <w:szCs w:val="22"/>
        </w:rPr>
        <w:t xml:space="preserve">AI Disclosure Example</w:t>
      </w:r>
    </w:p>
    <w:p>
      <w:pPr>
        <w:spacing w:after="120"/>
      </w:pPr>
      <w:r>
        <w:rPr>
          <w:i/>
          <w:iCs/>
          <w:sz w:val="22"/>
          <w:szCs w:val="22"/>
        </w:rPr>
        <w:t xml:space="preserve">"I used Claude (Anthropic) to brainstorm possible angles for analyzing my chosen piece. I asked, 'What are some different ways to interpret the symbolism of (a color) in (piece name)?' The tool suggested several options, including (mention of 1–2 ideas it offered). I selected and developed further the interpretation of (explain which idea you built upon)."</w:t>
      </w:r>
    </w:p>
    <w:p>
      <w:pPr>
        <w:pStyle w:val="Heading2"/>
        <w:spacing w:after="100" w:before="240"/>
      </w:pPr>
      <w:r>
        <w:rPr>
          <w:b/>
          <w:bCs/>
          <w:color w:val="B08D57"/>
          <w:sz w:val="22"/>
          <w:szCs w:val="22"/>
        </w:rPr>
        <w:t xml:space="preserve">When You Can Use AI</w:t>
      </w:r>
    </w:p>
    <w:p>
      <w:pPr>
        <w:pStyle w:val="ListParagraph"/>
        <w:numPr>
          <w:ilvl w:val="0"/>
          <w:numId w:val="2"/>
        </w:numPr>
        <w:spacing w:after="60"/>
      </w:pPr>
      <w:r>
        <w:rPr>
          <w:sz w:val="22"/>
          <w:szCs w:val="22"/>
        </w:rPr>
        <w:t xml:space="preserve">When an assignment specifically allows it</w:t>
      </w:r>
    </w:p>
    <w:p>
      <w:pPr>
        <w:pStyle w:val="ListParagraph"/>
        <w:numPr>
          <w:ilvl w:val="0"/>
          <w:numId w:val="2"/>
        </w:numPr>
        <w:spacing w:after="60"/>
      </w:pPr>
      <w:r>
        <w:rPr>
          <w:sz w:val="22"/>
          <w:szCs w:val="22"/>
        </w:rPr>
        <w:t xml:space="preserve">To brainstorm ideas</w:t>
      </w:r>
    </w:p>
    <w:p>
      <w:pPr>
        <w:pStyle w:val="ListParagraph"/>
        <w:numPr>
          <w:ilvl w:val="0"/>
          <w:numId w:val="2"/>
        </w:numPr>
        <w:spacing w:after="60"/>
      </w:pPr>
      <w:r>
        <w:rPr>
          <w:sz w:val="22"/>
          <w:szCs w:val="22"/>
        </w:rPr>
        <w:t xml:space="preserve">To check grammar or syntax</w:t>
      </w:r>
    </w:p>
    <w:p>
      <w:pPr>
        <w:pStyle w:val="ListParagraph"/>
        <w:numPr>
          <w:ilvl w:val="0"/>
          <w:numId w:val="2"/>
        </w:numPr>
        <w:spacing w:after="60"/>
      </w:pPr>
      <w:r>
        <w:rPr>
          <w:sz w:val="22"/>
          <w:szCs w:val="22"/>
        </w:rPr>
        <w:t xml:space="preserve">As a study aid</w:t>
      </w:r>
    </w:p>
    <w:p>
      <w:pPr>
        <w:pStyle w:val="ListParagraph"/>
        <w:numPr>
          <w:ilvl w:val="0"/>
          <w:numId w:val="2"/>
        </w:numPr>
        <w:spacing w:after="60"/>
      </w:pPr>
      <w:r>
        <w:rPr>
          <w:sz w:val="22"/>
          <w:szCs w:val="22"/>
        </w:rPr>
        <w:t xml:space="preserve">To get an extra example of a concept you've already discussed in class</w:t>
      </w:r>
    </w:p>
    <w:p>
      <w:pPr>
        <w:pStyle w:val="ListParagraph"/>
        <w:numPr>
          <w:ilvl w:val="0"/>
          <w:numId w:val="2"/>
        </w:numPr>
        <w:spacing w:after="60"/>
      </w:pPr>
      <w:r>
        <w:rPr>
          <w:sz w:val="22"/>
          <w:szCs w:val="22"/>
        </w:rPr>
        <w:t xml:space="preserve">To summarize your own notes</w:t>
      </w:r>
    </w:p>
    <w:p>
      <w:pPr>
        <w:pStyle w:val="Heading2"/>
        <w:spacing w:after="100" w:before="240"/>
      </w:pPr>
      <w:r>
        <w:rPr>
          <w:b/>
          <w:bCs/>
          <w:color w:val="B08D57"/>
          <w:sz w:val="22"/>
          <w:szCs w:val="22"/>
        </w:rPr>
        <w:t xml:space="preserve">When You Can't Use AI</w:t>
      </w:r>
    </w:p>
    <w:p>
      <w:pPr>
        <w:pStyle w:val="ListParagraph"/>
        <w:numPr>
          <w:ilvl w:val="0"/>
          <w:numId w:val="2"/>
        </w:numPr>
        <w:spacing w:after="60"/>
      </w:pPr>
      <w:r>
        <w:rPr>
          <w:sz w:val="22"/>
          <w:szCs w:val="22"/>
        </w:rPr>
        <w:t xml:space="preserve">When an assignment specifically says not to</w:t>
      </w:r>
    </w:p>
    <w:p>
      <w:pPr>
        <w:pStyle w:val="ListParagraph"/>
        <w:numPr>
          <w:ilvl w:val="0"/>
          <w:numId w:val="2"/>
        </w:numPr>
        <w:spacing w:after="60"/>
      </w:pPr>
      <w:r>
        <w:rPr>
          <w:sz w:val="22"/>
          <w:szCs w:val="22"/>
        </w:rPr>
        <w:t xml:space="preserve">On a quiz or test</w:t>
      </w:r>
    </w:p>
    <w:p>
      <w:pPr>
        <w:pStyle w:val="ListParagraph"/>
        <w:numPr>
          <w:ilvl w:val="0"/>
          <w:numId w:val="2"/>
        </w:numPr>
        <w:spacing w:after="60"/>
      </w:pPr>
      <w:r>
        <w:rPr>
          <w:sz w:val="22"/>
          <w:szCs w:val="22"/>
        </w:rPr>
        <w:t xml:space="preserve">To write a reflection on your behalf</w:t>
      </w:r>
    </w:p>
    <w:p>
      <w:pPr>
        <w:pStyle w:val="ListParagraph"/>
        <w:numPr>
          <w:ilvl w:val="0"/>
          <w:numId w:val="2"/>
        </w:numPr>
        <w:spacing w:after="60"/>
      </w:pPr>
      <w:r>
        <w:rPr>
          <w:sz w:val="22"/>
          <w:szCs w:val="22"/>
        </w:rPr>
        <w:t xml:space="preserve">As your only source in a research-intensive assignment — always cite primary and secondary sources using APA (7th edition) format</w:t>
      </w:r>
    </w:p>
    <w:p>
      <w:pPr>
        <w:pStyle w:val="ListParagraph"/>
        <w:numPr>
          <w:ilvl w:val="0"/>
          <w:numId w:val="2"/>
        </w:numPr>
        <w:spacing w:after="60"/>
      </w:pPr>
      <w:r>
        <w:rPr>
          <w:sz w:val="22"/>
          <w:szCs w:val="22"/>
        </w:rPr>
        <w:t xml:space="preserve">If you're completely lost on a concept — come talk to me instead</w:t>
      </w:r>
    </w:p>
    <w:p>
      <w:pPr>
        <w:pStyle w:val="Heading1"/>
        <w:pBdr>
          <w:bottom w:val="single" w:color="0F3D2B" w:sz="6" w:space="4"/>
        </w:pBdr>
        <w:spacing w:after="160" w:before="320"/>
      </w:pPr>
      <w:r>
        <w:rPr>
          <w:b/>
          <w:bCs/>
          <w:color w:val="0F3D2B"/>
          <w:sz w:val="28"/>
          <w:szCs w:val="28"/>
        </w:rPr>
        <w:t xml:space="preserve">Accessibility</w:t>
      </w:r>
    </w:p>
    <w:p>
      <w:pPr>
        <w:spacing w:after="120"/>
      </w:pPr>
      <w:r>
        <w:rPr>
          <w:sz w:val="22"/>
          <w:szCs w:val="22"/>
        </w:rPr>
        <w:t xml:space="preserve">Screen readers, captioning, and other accommodations are available to you. If you think a change to the course would help you learn better, let me know.</w:t>
      </w:r>
    </w:p>
    <w:p>
      <w:pPr>
        <w:pStyle w:val="Heading1"/>
        <w:pBdr>
          <w:bottom w:val="single" w:color="0F3D2B" w:sz="6" w:space="4"/>
        </w:pBdr>
        <w:spacing w:after="160" w:before="320"/>
      </w:pPr>
      <w:r>
        <w:rPr>
          <w:b/>
          <w:bCs/>
          <w:color w:val="0F3D2B"/>
          <w:sz w:val="28"/>
          <w:szCs w:val="28"/>
        </w:rPr>
        <w:t xml:space="preserve">Course Schedule — Fall 2026</w:t>
      </w:r>
    </w:p>
    <w:p>
      <w:pPr>
        <w:spacing w:after="120"/>
      </w:pPr>
      <w:r>
        <w:rPr>
          <w:sz w:val="22"/>
          <w:szCs w:val="22"/>
        </w:rPr>
        <w:t xml:space="preserve">Classes meet weekly on Thursdays, 75 minutes each, starting Monday, August 24, 2026.</w:t>
      </w:r>
    </w:p>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Unit 1: Subject Introduction</w:t>
            </w:r>
          </w:p>
          <w:p>
            <w:pPr>
              <w:spacing w:after="60"/>
            </w:pPr>
            <w:r>
              <w:rPr>
                <w:i/>
                <w:iCs/>
                <w:color w:val="D9D9D9"/>
                <w:sz w:val="18"/>
                <w:szCs w:val="18"/>
              </w:rPr>
              <w:t xml:space="preserve">Week 1 · Aug 24–30</w:t>
            </w:r>
          </w:p>
          <w:p>
            <w:pPr>
              <w:spacing w:after="60"/>
            </w:pPr>
            <w:r>
              <w:rPr>
                <w:b/>
                <w:bCs/>
                <w:color w:val="FFFFFF"/>
                <w:sz w:val="18"/>
                <w:szCs w:val="18"/>
              </w:rPr>
              <w:t xml:space="preserve">Class Date(s): Thu 8/27</w:t>
            </w:r>
          </w:p>
          <w:p>
            <w:r>
              <w:rPr>
                <w:i/>
                <w:iCs/>
                <w:color w:val="D9D9D9"/>
                <w:sz w:val="16"/>
                <w:szCs w:val="16"/>
              </w:rPr>
              <w:t xml:space="preserve">All assignments due Sunday, 8/30, by 11:59pm.</w:t>
            </w:r>
          </w:p>
        </w:tc>
        <w:tc>
          <w:tcPr>
            <w:tcW w:type="dxa" w:w="6300"/>
            <w:tcMar>
              <w:top w:type="dxa" w:w="120"/>
              <w:left w:type="dxa" w:w="150"/>
              <w:bottom w:type="dxa" w:w="120"/>
              <w:right w:type="dxa" w:w="150"/>
            </w:tcMar>
          </w:tcPr>
          <w:p>
            <w:pPr>
              <w:spacing w:after="60"/>
            </w:pPr>
            <w:r>
              <w:rPr>
                <w:sz w:val="20"/>
                <w:szCs w:val="20"/>
              </w:rPr>
              <w:t xml:space="preserve">Recommended watch: Kimberlé Crenshaw, "The Urgency of Intersectionality" (TED Talk). Disclaimer: Includes discussion of race and gender in relation to police brutality; if uncomfortable with subject matter, you can skip.</w:t>
            </w:r>
          </w:p>
          <w:p>
            <w:pPr>
              <w:spacing w:after="60"/>
            </w:pPr>
            <w:r>
              <w:rPr>
                <w:sz w:val="20"/>
                <w:szCs w:val="20"/>
              </w:rPr>
              <w:t xml:space="preserve">Class discussion, Thursday 8/27: Defining a Black woman — notable figures include Sojourner Truth &amp; Kimberlé Crenshaw (intersectionality), Maya Angelou, bell hooks, and Patricia Hill Collins.</w:t>
            </w:r>
          </w:p>
          <w:p>
            <w:pPr>
              <w:spacing w:after="60"/>
            </w:pPr>
            <w:r>
              <w:rPr>
                <w:sz w:val="20"/>
                <w:szCs w:val="20"/>
              </w:rPr>
              <w:t xml:space="preserve">Assignment: Discussion post — introduce 2 Black women (people you know personally or public figures) and describe how each has impacted you or society; reply to 1 classmate's post with a fun fact (20 pts).</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Unit 2: Media Foundations</w:t>
            </w:r>
          </w:p>
          <w:p>
            <w:pPr>
              <w:spacing w:after="60"/>
            </w:pPr>
            <w:r>
              <w:rPr>
                <w:i/>
                <w:iCs/>
                <w:color w:val="D9D9D9"/>
                <w:sz w:val="18"/>
                <w:szCs w:val="18"/>
              </w:rPr>
              <w:t xml:space="preserve">Weeks 2–3 · Aug 31–Sep 13</w:t>
            </w:r>
          </w:p>
          <w:p>
            <w:pPr>
              <w:spacing w:after="60"/>
            </w:pPr>
            <w:r>
              <w:rPr>
                <w:b/>
                <w:bCs/>
                <w:color w:val="FFFFFF"/>
                <w:sz w:val="18"/>
                <w:szCs w:val="18"/>
              </w:rPr>
              <w:t xml:space="preserve">Class Date(s): Thu 9/3 &amp; Thu 9/10</w:t>
            </w:r>
          </w:p>
          <w:p>
            <w:r>
              <w:rPr>
                <w:i/>
                <w:iCs/>
                <w:color w:val="D9D9D9"/>
                <w:sz w:val="16"/>
                <w:szCs w:val="16"/>
              </w:rPr>
              <w:t xml:space="preserve">Assignments due Sundays, 9/6 &amp; 9/13, by 11:59pm.</w:t>
            </w:r>
          </w:p>
        </w:tc>
        <w:tc>
          <w:tcPr>
            <w:tcW w:type="dxa" w:w="6300"/>
            <w:tcMar>
              <w:top w:type="dxa" w:w="120"/>
              <w:left w:type="dxa" w:w="150"/>
              <w:bottom w:type="dxa" w:w="120"/>
              <w:right w:type="dxa" w:w="150"/>
            </w:tcMar>
          </w:tcPr>
          <w:p>
            <w:pPr>
              <w:spacing w:after="60"/>
            </w:pPr>
            <w:r>
              <w:rPr>
                <w:sz w:val="20"/>
                <w:szCs w:val="20"/>
              </w:rPr>
              <w:t xml:space="preserve">Required secondary reading: continue reading Zora Neale Hurston, Their Eyes Were Watching God (1937), toward having it fully read by 10/1.</w:t>
            </w:r>
          </w:p>
          <w:p>
            <w:pPr>
              <w:spacing w:after="60"/>
            </w:pPr>
            <w:r>
              <w:rPr>
                <w:sz w:val="20"/>
                <w:szCs w:val="20"/>
              </w:rPr>
              <w:t xml:space="preserve">Readings: Natasha Williams, "What Is Media Analysis and Why Is It Important?"; NAMLE, "Key Questions to Ask When Analyzing Media Experiences."</w:t>
            </w:r>
          </w:p>
          <w:p>
            <w:pPr>
              <w:spacing w:after="60"/>
            </w:pPr>
            <w:r>
              <w:rPr>
                <w:sz w:val="20"/>
                <w:szCs w:val="20"/>
              </w:rPr>
              <w:t xml:space="preserve">Class discussion, Thursday 9/3: media analysis — communication patterns, representation, audience interaction, plus your vocabulary list (trope, stereotype, agency, gaze, framing, symbolism, subtext, erasure, tokenism, narrative voice).</w:t>
            </w:r>
          </w:p>
          <w:p>
            <w:pPr>
              <w:spacing w:after="60"/>
            </w:pPr>
            <w:r>
              <w:rPr>
                <w:sz w:val="20"/>
                <w:szCs w:val="20"/>
              </w:rPr>
              <w:t xml:space="preserve">Assignment: Media Analysis worksheet — define each term in your own words and provide an example (20 pts).</w:t>
            </w:r>
          </w:p>
          <w:p>
            <w:pPr>
              <w:spacing w:after="60"/>
            </w:pPr>
            <w:r>
              <w:rPr>
                <w:sz w:val="20"/>
                <w:szCs w:val="20"/>
              </w:rPr>
              <w:t xml:space="preserve">Readings: Mahassen Mgadmi, "Black Women's Identity: Stereotypes, Respectability and Passionlessness (1890–1930)"; Shanita Hubbard, "Understanding — and Avoiding — Stereotypes About Black Women in the News."</w:t>
            </w:r>
          </w:p>
          <w:p>
            <w:pPr>
              <w:spacing w:after="60"/>
            </w:pPr>
            <w:r>
              <w:rPr>
                <w:sz w:val="20"/>
                <w:szCs w:val="20"/>
              </w:rPr>
              <w:t xml:space="preserve">Class discussion, Thursday 9/10: major tropes/stereotypes in media related to Black women — Mammy, Jezebel, "angry Black woman," colorism/light-skin bias.</w:t>
            </w:r>
          </w:p>
          <w:p>
            <w:pPr>
              <w:spacing w:after="60"/>
            </w:pPr>
            <w:r>
              <w:rPr>
                <w:sz w:val="20"/>
                <w:szCs w:val="20"/>
              </w:rPr>
              <w:t xml:space="preserve">Assignment: Discussion post — pick 2 tropes, use an AI chatbot to find examples in TV shows you've seen, and write 2 paragraphs on your familiarity with the show, whether you'd noticed the trope before, and whether this lens changes how you see the show. Reply to 2 other classmates' posts (20 pts).</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Unit 3: Poems</w:t>
            </w:r>
          </w:p>
          <w:p>
            <w:pPr>
              <w:spacing w:after="60"/>
            </w:pPr>
            <w:r>
              <w:rPr>
                <w:i/>
                <w:iCs/>
                <w:color w:val="D9D9D9"/>
                <w:sz w:val="18"/>
                <w:szCs w:val="18"/>
              </w:rPr>
              <w:t xml:space="preserve">Week 4 · Sep 14–20</w:t>
            </w:r>
          </w:p>
          <w:p>
            <w:pPr>
              <w:spacing w:after="60"/>
            </w:pPr>
            <w:r>
              <w:rPr>
                <w:b/>
                <w:bCs/>
                <w:color w:val="FFFFFF"/>
                <w:sz w:val="18"/>
                <w:szCs w:val="18"/>
              </w:rPr>
              <w:t xml:space="preserve">Class Date(s): Thu 9/17</w:t>
            </w:r>
          </w:p>
          <w:p>
            <w:r>
              <w:rPr>
                <w:i/>
                <w:iCs/>
                <w:color w:val="D9D9D9"/>
                <w:sz w:val="16"/>
                <w:szCs w:val="16"/>
              </w:rPr>
              <w:t xml:space="preserve">All assignments due Sunday, 9/20, by 11:59pm.</w:t>
            </w:r>
          </w:p>
        </w:tc>
        <w:tc>
          <w:tcPr>
            <w:tcW w:type="dxa" w:w="6300"/>
            <w:tcMar>
              <w:top w:type="dxa" w:w="120"/>
              <w:left w:type="dxa" w:w="150"/>
              <w:bottom w:type="dxa" w:w="120"/>
              <w:right w:type="dxa" w:w="150"/>
            </w:tcMar>
          </w:tcPr>
          <w:p>
            <w:pPr>
              <w:spacing w:after="60"/>
            </w:pPr>
            <w:r>
              <w:rPr>
                <w:sz w:val="20"/>
                <w:szCs w:val="20"/>
              </w:rPr>
              <w:t xml:space="preserve">Required secondary reading: continue reading Zora Neale Hurston, Their Eyes Were Watching God (1937), toward having it fully read by 10/1.</w:t>
            </w:r>
          </w:p>
          <w:p>
            <w:pPr>
              <w:spacing w:after="60"/>
            </w:pPr>
            <w:r>
              <w:rPr>
                <w:sz w:val="20"/>
                <w:szCs w:val="20"/>
              </w:rPr>
              <w:t xml:space="preserve">Required reading: Maya Angelou, "Still I Rise" (1978).</w:t>
            </w:r>
          </w:p>
          <w:p>
            <w:pPr>
              <w:spacing w:after="60"/>
            </w:pPr>
            <w:r>
              <w:rPr>
                <w:sz w:val="20"/>
                <w:szCs w:val="20"/>
              </w:rPr>
              <w:t xml:space="preserve">In-class case study, Thursday 9/17.</w:t>
            </w:r>
          </w:p>
          <w:p>
            <w:pPr>
              <w:spacing w:after="60"/>
            </w:pPr>
            <w:r>
              <w:rPr>
                <w:sz w:val="20"/>
                <w:szCs w:val="20"/>
              </w:rPr>
              <w:t xml:space="preserve">Assignment: Case Study 1 (Poem, 400–600 words). Choose a poem that mentions a Black woman (doesn't have to be written by one), identify at least 2 analytical concepts, research the creator/context, and answer the guiding question (30 pts). AI can help you select a poem or find an extra example of a concept — disclose its use — but shouldn't be used to analyze the piece itself.</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Unit 4: TikTok / Meme</w:t>
            </w:r>
          </w:p>
          <w:p>
            <w:pPr>
              <w:spacing w:after="60"/>
            </w:pPr>
            <w:r>
              <w:rPr>
                <w:i/>
                <w:iCs/>
                <w:color w:val="D9D9D9"/>
                <w:sz w:val="18"/>
                <w:szCs w:val="18"/>
              </w:rPr>
              <w:t xml:space="preserve">Week 5 · Sep 21–27</w:t>
            </w:r>
          </w:p>
          <w:p>
            <w:pPr>
              <w:spacing w:after="60"/>
            </w:pPr>
            <w:r>
              <w:rPr>
                <w:b/>
                <w:bCs/>
                <w:color w:val="FFFFFF"/>
                <w:sz w:val="18"/>
                <w:szCs w:val="18"/>
              </w:rPr>
              <w:t xml:space="preserve">Class Date(s): Thu 9/24</w:t>
            </w:r>
          </w:p>
          <w:p>
            <w:r>
              <w:rPr>
                <w:i/>
                <w:iCs/>
                <w:color w:val="D9D9D9"/>
                <w:sz w:val="16"/>
                <w:szCs w:val="16"/>
              </w:rPr>
              <w:t xml:space="preserve">All assignments due Sunday, 9/27, by 11:59pm.</w:t>
            </w:r>
          </w:p>
        </w:tc>
        <w:tc>
          <w:tcPr>
            <w:tcW w:type="dxa" w:w="6300"/>
            <w:tcMar>
              <w:top w:type="dxa" w:w="120"/>
              <w:left w:type="dxa" w:w="150"/>
              <w:bottom w:type="dxa" w:w="120"/>
              <w:right w:type="dxa" w:w="150"/>
            </w:tcMar>
          </w:tcPr>
          <w:p>
            <w:pPr>
              <w:spacing w:after="60"/>
            </w:pPr>
            <w:r>
              <w:rPr>
                <w:sz w:val="20"/>
                <w:szCs w:val="20"/>
              </w:rPr>
              <w:t xml:space="preserve">Required secondary reading: continue reading Zora Neale Hurston, Their Eyes Were Watching God (1937), toward having it fully read by 10/1.</w:t>
            </w:r>
          </w:p>
          <w:p>
            <w:pPr>
              <w:spacing w:after="60"/>
            </w:pPr>
            <w:r>
              <w:rPr>
                <w:sz w:val="20"/>
                <w:szCs w:val="20"/>
              </w:rPr>
              <w:t xml:space="preserve">In-class case study, Thursday 9/24: "He Got Money" — Quinta Brunson (2014).</w:t>
            </w:r>
          </w:p>
          <w:p>
            <w:pPr>
              <w:spacing w:after="60"/>
            </w:pPr>
            <w:r>
              <w:rPr>
                <w:sz w:val="20"/>
                <w:szCs w:val="20"/>
              </w:rPr>
              <w:t xml:space="preserve">Assignment: Case Study 2 (Short-Form Media, 250–400 words). Find a viral TikTok or meme featuring at least 1 Black woman, compare at least 3 iterations of it, research the original creator/context, and answer the guiding question (30 pts). AI can help with grammar or extra context — disclose its use — but shouldn't be used to analyze the piece.</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Unit 5: Literature</w:t>
            </w:r>
          </w:p>
          <w:p>
            <w:pPr>
              <w:spacing w:after="60"/>
            </w:pPr>
            <w:r>
              <w:rPr>
                <w:i/>
                <w:iCs/>
                <w:color w:val="D9D9D9"/>
                <w:sz w:val="18"/>
                <w:szCs w:val="18"/>
              </w:rPr>
              <w:t xml:space="preserve">Weeks 6–7 · Sep 28–Oct 11</w:t>
            </w:r>
          </w:p>
          <w:p>
            <w:pPr>
              <w:spacing w:after="60"/>
            </w:pPr>
            <w:r>
              <w:rPr>
                <w:b/>
                <w:bCs/>
                <w:color w:val="FFFFFF"/>
                <w:sz w:val="18"/>
                <w:szCs w:val="18"/>
              </w:rPr>
              <w:t xml:space="preserve">Class Date(s): Thu 10/1 &amp; Thu 10/8</w:t>
            </w:r>
          </w:p>
          <w:p>
            <w:r>
              <w:rPr>
                <w:i/>
                <w:iCs/>
                <w:color w:val="D9D9D9"/>
                <w:sz w:val="16"/>
                <w:szCs w:val="16"/>
              </w:rPr>
              <w:t xml:space="preserve">Reflection due Sunday, 10/11, by 11:59pm.</w:t>
            </w:r>
          </w:p>
        </w:tc>
        <w:tc>
          <w:tcPr>
            <w:tcW w:type="dxa" w:w="6300"/>
            <w:tcMar>
              <w:top w:type="dxa" w:w="120"/>
              <w:left w:type="dxa" w:w="150"/>
              <w:bottom w:type="dxa" w:w="120"/>
              <w:right w:type="dxa" w:w="150"/>
            </w:tcMar>
          </w:tcPr>
          <w:p>
            <w:pPr>
              <w:spacing w:after="60"/>
            </w:pPr>
            <w:r>
              <w:rPr>
                <w:sz w:val="20"/>
                <w:szCs w:val="20"/>
              </w:rPr>
              <w:t xml:space="preserve">Required reading: Zora Neale Hurston, Their Eyes Were Watching God (1937). You should have the novel fully read by the 10/1 class date.</w:t>
            </w:r>
          </w:p>
          <w:p>
            <w:pPr>
              <w:spacing w:after="60"/>
            </w:pPr>
            <w:r>
              <w:rPr>
                <w:sz w:val="20"/>
                <w:szCs w:val="20"/>
              </w:rPr>
              <w:t xml:space="preserve">Class Discussion (10/01 &amp; 10/08): On Their Eyes Were Watching God, Zora Neale Hurston, 1937.</w:t>
            </w:r>
          </w:p>
          <w:p>
            <w:pPr>
              <w:spacing w:after="60"/>
            </w:pPr>
            <w:r>
              <w:rPr>
                <w:sz w:val="20"/>
                <w:szCs w:val="20"/>
              </w:rPr>
              <w:t xml:space="preserve">Assignment: Discussion points given based on the quality and frequency of your participation in the Socratic circle during class time — up to 10 pts.</w:t>
            </w:r>
          </w:p>
          <w:p>
            <w:pPr>
              <w:spacing w:after="60"/>
            </w:pPr>
            <w:r>
              <w:rPr>
                <w:sz w:val="20"/>
                <w:szCs w:val="20"/>
              </w:rPr>
              <w:t xml:space="preserve">250-word reflection due on 10/11 that expresses what you learned from the group discussion — 10 pts.</w:t>
            </w:r>
          </w:p>
          <w:p>
            <w:pPr>
              <w:spacing w:after="60"/>
            </w:pPr>
            <w:r>
              <w:rPr>
                <w:sz w:val="20"/>
                <w:szCs w:val="20"/>
              </w:rPr>
              <w:t xml:space="preserve">If you miss one of these discussion days, an alternate assignment may be available on a case-by-case basis — not guaranteed. Reach out as soon as possible if this applies to you.</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Mid-Semester Quiz</w:t>
            </w:r>
          </w:p>
          <w:p>
            <w:pPr>
              <w:spacing w:after="60"/>
            </w:pPr>
            <w:r>
              <w:rPr>
                <w:i/>
                <w:iCs/>
                <w:color w:val="D9D9D9"/>
                <w:sz w:val="18"/>
                <w:szCs w:val="18"/>
              </w:rPr>
              <w:t xml:space="preserve">Weeks 6–7 · Sep 28–Oct 11</w:t>
            </w:r>
          </w:p>
          <w:p>
            <w:pPr>
              <w:spacing w:after="60"/>
            </w:pPr>
            <w:r>
              <w:rPr>
                <w:b/>
                <w:bCs/>
                <w:color w:val="FFFFFF"/>
                <w:sz w:val="18"/>
                <w:szCs w:val="18"/>
              </w:rPr>
              <w:t xml:space="preserve">Class Date(s): No in-person class · Online via Webcourses</w:t>
            </w:r>
          </w:p>
          <w:p>
            <w:r>
              <w:rPr>
                <w:i/>
                <w:iCs/>
                <w:color w:val="D9D9D9"/>
                <w:sz w:val="16"/>
                <w:szCs w:val="16"/>
              </w:rPr>
              <w:t xml:space="preserve">Quiz due Sunday, 10/11, by 11:59pm.</w:t>
            </w:r>
          </w:p>
        </w:tc>
        <w:tc>
          <w:tcPr>
            <w:tcW w:type="dxa" w:w="6300"/>
            <w:tcMar>
              <w:top w:type="dxa" w:w="120"/>
              <w:left w:type="dxa" w:w="150"/>
              <w:bottom w:type="dxa" w:w="120"/>
              <w:right w:type="dxa" w:w="150"/>
            </w:tcMar>
          </w:tcPr>
          <w:p>
            <w:pPr>
              <w:spacing w:after="60"/>
            </w:pPr>
            <w:r>
              <w:rPr>
                <w:sz w:val="20"/>
                <w:szCs w:val="20"/>
              </w:rPr>
              <w:t xml:space="preserve">Assignment: Mid-Semester Quiz. Timed, 45 minutes, 20 questions (10 short answer, 10 multiple choice), administered through Webcourses.</w:t>
            </w:r>
          </w:p>
          <w:p>
            <w:pPr>
              <w:spacing w:after="60"/>
            </w:pPr>
            <w:r>
              <w:rPr>
                <w:sz w:val="20"/>
                <w:szCs w:val="20"/>
              </w:rPr>
              <w:t xml:space="preserve">Opens 9/28 and closes 10/11 (40 pts).</w:t>
            </w:r>
          </w:p>
          <w:p>
            <w:pPr>
              <w:spacing w:after="60"/>
            </w:pPr>
            <w:r>
              <w:rPr>
                <w:sz w:val="20"/>
                <w:szCs w:val="20"/>
              </w:rPr>
              <w:t xml:space="preserve">Note: Unit 5 includes two graded pieces total — the Socratic Circle (graded on the quality and frequency of your class participation, plus a 250-word reflection due 10/11), worth 20 points, and this Mid-Semester Quiz, worth 40 points — 60 points combined.</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Unit 6: Visual Art</w:t>
            </w:r>
          </w:p>
          <w:p>
            <w:pPr>
              <w:spacing w:after="60"/>
            </w:pPr>
            <w:r>
              <w:rPr>
                <w:i/>
                <w:iCs/>
                <w:color w:val="D9D9D9"/>
                <w:sz w:val="18"/>
                <w:szCs w:val="18"/>
              </w:rPr>
              <w:t xml:space="preserve">Week 8 · Oct 12–18</w:t>
            </w:r>
          </w:p>
          <w:p>
            <w:pPr>
              <w:spacing w:after="60"/>
            </w:pPr>
            <w:r>
              <w:rPr>
                <w:b/>
                <w:bCs/>
                <w:color w:val="FFFFFF"/>
                <w:sz w:val="18"/>
                <w:szCs w:val="18"/>
              </w:rPr>
              <w:t xml:space="preserve">Class Date(s): Thu 10/15</w:t>
            </w:r>
          </w:p>
          <w:p>
            <w:r>
              <w:rPr>
                <w:i/>
                <w:iCs/>
                <w:color w:val="D9D9D9"/>
                <w:sz w:val="16"/>
                <w:szCs w:val="16"/>
              </w:rPr>
              <w:t xml:space="preserve">All assignments due Sunday, 10/18, by 11:59pm.</w:t>
            </w:r>
          </w:p>
        </w:tc>
        <w:tc>
          <w:tcPr>
            <w:tcW w:type="dxa" w:w="6300"/>
            <w:tcMar>
              <w:top w:type="dxa" w:w="120"/>
              <w:left w:type="dxa" w:w="150"/>
              <w:bottom w:type="dxa" w:w="120"/>
              <w:right w:type="dxa" w:w="150"/>
            </w:tcMar>
          </w:tcPr>
          <w:p>
            <w:pPr>
              <w:spacing w:after="60"/>
            </w:pPr>
            <w:r>
              <w:rPr>
                <w:sz w:val="20"/>
                <w:szCs w:val="20"/>
              </w:rPr>
              <w:t xml:space="preserve">Required reading: Robert Glass, Understanding Art: An Introduction.</w:t>
            </w:r>
          </w:p>
          <w:p>
            <w:pPr>
              <w:spacing w:after="60"/>
            </w:pPr>
            <w:r>
              <w:rPr>
                <w:sz w:val="20"/>
                <w:szCs w:val="20"/>
              </w:rPr>
              <w:t xml:space="preserve">View the course art gallery online before class.</w:t>
            </w:r>
          </w:p>
          <w:p>
            <w:pPr>
              <w:spacing w:after="60"/>
            </w:pPr>
            <w:r>
              <w:rPr>
                <w:sz w:val="20"/>
                <w:szCs w:val="20"/>
              </w:rPr>
              <w:t xml:space="preserve">Class discussion, Thursday 10/15: how Black women are depicted differently across artistic mediums.</w:t>
            </w:r>
          </w:p>
          <w:p>
            <w:pPr>
              <w:spacing w:after="60"/>
            </w:pPr>
            <w:r>
              <w:rPr>
                <w:sz w:val="20"/>
                <w:szCs w:val="20"/>
              </w:rPr>
              <w:t xml:space="preserve">Assignment: Looking Between — Mini Assignment (300 words). Ask an AI chatbot to name and describe famous paintings of women, then ask it to name and describe famous paintings of Black women. Compare the two searches — note how many results come back, how specific they are, and how confident the AI sounds in each case. Write a 300-word reflection on what differences you notice between the two searches and what that gap suggests about the availability of Black women in art compared to the majority. Include the full AI prompts and replies as part of your submission (20 pts).</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Unit 7: Music Video / Lyrics</w:t>
            </w:r>
          </w:p>
          <w:p>
            <w:pPr>
              <w:spacing w:after="60"/>
            </w:pPr>
            <w:r>
              <w:rPr>
                <w:i/>
                <w:iCs/>
                <w:color w:val="D9D9D9"/>
                <w:sz w:val="18"/>
                <w:szCs w:val="18"/>
              </w:rPr>
              <w:t xml:space="preserve">Week 9 · Oct 19–25</w:t>
            </w:r>
          </w:p>
          <w:p>
            <w:pPr>
              <w:spacing w:after="60"/>
            </w:pPr>
            <w:r>
              <w:rPr>
                <w:b/>
                <w:bCs/>
                <w:color w:val="FFFFFF"/>
                <w:sz w:val="18"/>
                <w:szCs w:val="18"/>
              </w:rPr>
              <w:t xml:space="preserve">Class Date(s): Thu 10/22</w:t>
            </w:r>
          </w:p>
          <w:p>
            <w:r>
              <w:rPr>
                <w:i/>
                <w:iCs/>
                <w:color w:val="D9D9D9"/>
                <w:sz w:val="16"/>
                <w:szCs w:val="16"/>
              </w:rPr>
              <w:t xml:space="preserve">All assignments due Sunday, 10/25, by 11:59pm.</w:t>
            </w:r>
          </w:p>
        </w:tc>
        <w:tc>
          <w:tcPr>
            <w:tcW w:type="dxa" w:w="6300"/>
            <w:tcMar>
              <w:top w:type="dxa" w:w="120"/>
              <w:left w:type="dxa" w:w="150"/>
              <w:bottom w:type="dxa" w:w="120"/>
              <w:right w:type="dxa" w:w="150"/>
            </w:tcMar>
          </w:tcPr>
          <w:p>
            <w:pPr>
              <w:spacing w:after="60"/>
            </w:pPr>
            <w:r>
              <w:rPr>
                <w:sz w:val="20"/>
                <w:szCs w:val="20"/>
              </w:rPr>
              <w:t xml:space="preserve">In-class case study, Thursday 10/22: "Closer" — Goapele (2002).</w:t>
            </w:r>
          </w:p>
          <w:p>
            <w:pPr>
              <w:spacing w:after="60"/>
            </w:pPr>
            <w:r>
              <w:rPr>
                <w:sz w:val="20"/>
                <w:szCs w:val="20"/>
              </w:rPr>
              <w:t xml:space="preserve">Assignment: Case Study 3 (Music Video, 500–700 words). Choose a music video featuring or centered on a Black woman (doesn't have to be written by one), identify at least 3 analytical concepts, consider the lyrics separately from the visuals, research the creator/context, and answer the guiding question (30 pts). AI can help with grammar or extra context — disclose its use — but shouldn't be used to analyze the piece.</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Unit 8: Movie</w:t>
            </w:r>
          </w:p>
          <w:p>
            <w:pPr>
              <w:spacing w:after="60"/>
            </w:pPr>
            <w:r>
              <w:rPr>
                <w:i/>
                <w:iCs/>
                <w:color w:val="D9D9D9"/>
                <w:sz w:val="18"/>
                <w:szCs w:val="18"/>
              </w:rPr>
              <w:t xml:space="preserve">Weeks 10–11 · Oct 26–Nov 8</w:t>
            </w:r>
          </w:p>
          <w:p>
            <w:pPr>
              <w:spacing w:after="60"/>
            </w:pPr>
            <w:r>
              <w:rPr>
                <w:b/>
                <w:bCs/>
                <w:color w:val="FFFFFF"/>
                <w:sz w:val="18"/>
                <w:szCs w:val="18"/>
              </w:rPr>
              <w:t xml:space="preserve">Class Date(s): Thu 10/29 &amp; Thu 11/5</w:t>
            </w:r>
          </w:p>
          <w:p>
            <w:r>
              <w:rPr>
                <w:i/>
                <w:iCs/>
                <w:color w:val="D9D9D9"/>
                <w:sz w:val="16"/>
                <w:szCs w:val="16"/>
              </w:rPr>
              <w:t xml:space="preserve">Sinners Mini Assignment due Sunday, 11/8, by 11:59pm.</w:t>
            </w:r>
          </w:p>
        </w:tc>
        <w:tc>
          <w:tcPr>
            <w:tcW w:type="dxa" w:w="6300"/>
            <w:tcMar>
              <w:top w:type="dxa" w:w="120"/>
              <w:left w:type="dxa" w:w="150"/>
              <w:bottom w:type="dxa" w:w="120"/>
              <w:right w:type="dxa" w:w="150"/>
            </w:tcMar>
          </w:tcPr>
          <w:p>
            <w:pPr>
              <w:spacing w:after="60"/>
            </w:pPr>
            <w:r>
              <w:rPr>
                <w:sz w:val="20"/>
                <w:szCs w:val="20"/>
              </w:rPr>
              <w:t xml:space="preserve">Class time (10/29 &amp; 11/05): Watch Sinners.</w:t>
            </w:r>
          </w:p>
          <w:p>
            <w:pPr>
              <w:spacing w:after="60"/>
            </w:pPr>
            <w:r>
              <w:rPr>
                <w:sz w:val="20"/>
                <w:szCs w:val="20"/>
              </w:rPr>
              <w:t xml:space="preserve">"Sinners" discussion — I'll also walk you through an example of a Being Seen — The Presentation submission, based on Sinners, so you can see what's expected for your final.</w:t>
            </w:r>
          </w:p>
          <w:p>
            <w:pPr>
              <w:spacing w:after="60"/>
            </w:pPr>
            <w:r>
              <w:rPr>
                <w:sz w:val="20"/>
                <w:szCs w:val="20"/>
              </w:rPr>
              <w:t xml:space="preserve">Assignment: Sinners Mini Assignment (300 words). Before watching the film in class, use an AI chatbot to complete a character analysis comparing Annie and Pearline, and keep notes on its answer. After watching the film and taking part in the class discussion, complete your own character comparison. Specifically call out what the AI might have missed that you noticed, or what the AI got right that you (or we, as a class) hadn't considered. Include the full AI answer transcript with your submission (20 pts).</w:t>
            </w:r>
          </w:p>
          <w:p>
            <w:pPr>
              <w:spacing w:after="60"/>
            </w:pPr>
            <w:r>
              <w:rPr>
                <w:sz w:val="20"/>
                <w:szCs w:val="20"/>
              </w:rPr>
              <w:t xml:space="preserve">If any part of the film is difficult for you, come talk to me during office hours about an alternate assignment.</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Being Seen — The Presentation</w:t>
            </w:r>
          </w:p>
          <w:p>
            <w:pPr>
              <w:spacing w:after="60"/>
            </w:pPr>
            <w:r>
              <w:rPr>
                <w:i/>
                <w:iCs/>
                <w:color w:val="D9D9D9"/>
                <w:sz w:val="18"/>
                <w:szCs w:val="18"/>
              </w:rPr>
              <w:t xml:space="preserve">Weeks 11–12 · Nov 9–20</w:t>
            </w:r>
          </w:p>
          <w:p>
            <w:pPr>
              <w:spacing w:after="60"/>
            </w:pPr>
            <w:r>
              <w:rPr>
                <w:b/>
                <w:bCs/>
                <w:color w:val="FFFFFF"/>
                <w:sz w:val="18"/>
                <w:szCs w:val="18"/>
              </w:rPr>
              <w:t xml:space="preserve">Class Date(s): Thu 11/12 &amp; Thu 11/19</w:t>
            </w:r>
          </w:p>
          <w:p>
            <w:r>
              <w:rPr>
                <w:i/>
                <w:iCs/>
                <w:color w:val="D9D9D9"/>
                <w:sz w:val="16"/>
                <w:szCs w:val="16"/>
              </w:rPr>
              <w:t xml:space="preserve">Presentations happen in class — no separate Sunday due date.</w:t>
            </w:r>
          </w:p>
        </w:tc>
        <w:tc>
          <w:tcPr>
            <w:tcW w:type="dxa" w:w="6300"/>
            <w:tcMar>
              <w:top w:type="dxa" w:w="120"/>
              <w:left w:type="dxa" w:w="150"/>
              <w:bottom w:type="dxa" w:w="120"/>
              <w:right w:type="dxa" w:w="150"/>
            </w:tcMar>
          </w:tcPr>
          <w:p>
            <w:pPr>
              <w:spacing w:after="60"/>
            </w:pPr>
            <w:r>
              <w:rPr>
                <w:sz w:val="20"/>
                <w:szCs w:val="20"/>
              </w:rPr>
              <w:t xml:space="preserve">Class Dates (11/12 &amp; 11/19): Presenting your final research presentations.</w:t>
            </w:r>
          </w:p>
          <w:p>
            <w:pPr>
              <w:spacing w:after="60"/>
            </w:pPr>
            <w:r>
              <w:rPr>
                <w:sz w:val="20"/>
                <w:szCs w:val="20"/>
              </w:rPr>
              <w:t xml:space="preserve">Being Seen — The Presentation: Choose one piece of media (not already covered this semester) and research it to answer "How is the Black woman being represented?" Your presentation should be 10–15 minutes, include a clear thesis within the first minute, and include a moving element — this can be a slide deck with transitions, a video clip, a song, a voice recording, or an animated graphic (70 pts). You'll also submit a written or video reflection explaining why you chose the piece, how you presented it, and what you learned (30 pts). 100 points total. Full grading criteria and AI guidelines for this assignment will be covered in detail in class as we get closer to Unit 9.</w:t>
            </w:r>
          </w:p>
          <w:p>
            <w:pPr>
              <w:spacing w:after="60"/>
            </w:pPr>
            <w:r>
              <w:rPr>
                <w:sz w:val="20"/>
                <w:szCs w:val="20"/>
              </w:rPr>
              <w:t xml:space="preserve">Presentation order will be assigned randomly across the two class dates.</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Changing Perspectives</w:t>
            </w:r>
          </w:p>
          <w:p>
            <w:pPr>
              <w:spacing w:after="60"/>
            </w:pPr>
            <w:r>
              <w:rPr>
                <w:i/>
                <w:iCs/>
                <w:color w:val="D9D9D9"/>
                <w:sz w:val="18"/>
                <w:szCs w:val="18"/>
              </w:rPr>
              <w:t xml:space="preserve">Nov 23 – Dec 1</w:t>
            </w:r>
          </w:p>
          <w:p>
            <w:pPr>
              <w:spacing w:after="60"/>
            </w:pPr>
            <w:r>
              <w:rPr>
                <w:b/>
                <w:bCs/>
                <w:color w:val="FFFFFF"/>
                <w:sz w:val="18"/>
                <w:szCs w:val="18"/>
              </w:rPr>
              <w:t xml:space="preserve">Class Date(s): No class meetings</w:t>
            </w:r>
          </w:p>
          <w:p>
            <w:r>
              <w:rPr>
                <w:i/>
                <w:iCs/>
                <w:color w:val="D9D9D9"/>
                <w:sz w:val="16"/>
                <w:szCs w:val="16"/>
              </w:rPr>
              <w:t xml:space="preserve">Mini-Project due Tuesday, 12/1, by 11:59pm.</w:t>
            </w:r>
          </w:p>
        </w:tc>
        <w:tc>
          <w:tcPr>
            <w:tcW w:type="dxa" w:w="6300"/>
            <w:tcMar>
              <w:top w:type="dxa" w:w="120"/>
              <w:left w:type="dxa" w:w="150"/>
              <w:bottom w:type="dxa" w:w="120"/>
              <w:right w:type="dxa" w:w="150"/>
            </w:tcMar>
          </w:tcPr>
          <w:p>
            <w:pPr>
              <w:spacing w:after="60"/>
            </w:pPr>
            <w:r>
              <w:rPr>
                <w:sz w:val="20"/>
                <w:szCs w:val="20"/>
              </w:rPr>
              <w:t xml:space="preserve">Thanksgiving Break: November 23–27.</w:t>
            </w:r>
          </w:p>
          <w:p>
            <w:pPr>
              <w:spacing w:after="60"/>
            </w:pPr>
            <w:r>
              <w:rPr>
                <w:sz w:val="20"/>
                <w:szCs w:val="20"/>
              </w:rPr>
              <w:t xml:space="preserve">Assignment: Changing Perspective Mini-Project, completed independently over Thanksgiving break and the days following, due Tuesday, 12/1. Create an original art piece — any medium — connected to a topic from class, plus a 500-word-max artist's statement linking it to a specific concept. Not graded on artistic skill; 20 pts for completion, 20 pts for a clear conceptual connection (40 pts total). AI assistance is allowed for the art piece itself, but not for the reflection/artist's statement — that part must be written entirely in your own words.</w:t>
            </w:r>
          </w:p>
        </w:tc>
      </w:tr>
    </w:tbl>
    <w:p>
      <w:pPr>
        <w:spacing w:after="1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6300"/>
      </w:tblGrid>
      <w:tr>
        <w:tc>
          <w:tcPr>
            <w:tcW w:type="dxa" w:w="3100"/>
            <w:shd w:fill="0F3D2B" w:val="clear"/>
          </w:tcPr>
          <w:p>
            <w:pPr>
              <w:spacing w:after="20"/>
            </w:pPr>
            <w:r>
              <w:rPr>
                <w:b/>
                <w:bCs/>
                <w:color w:val="FFFFFF"/>
                <w:sz w:val="21"/>
                <w:szCs w:val="21"/>
              </w:rPr>
              <w:t xml:space="preserve">End of Semester</w:t>
            </w:r>
          </w:p>
          <w:p>
            <w:pPr>
              <w:spacing w:after="60"/>
            </w:pPr>
            <w:r>
              <w:rPr>
                <w:i/>
                <w:iCs/>
                <w:color w:val="D9D9D9"/>
                <w:sz w:val="18"/>
                <w:szCs w:val="18"/>
              </w:rPr>
              <w:t xml:space="preserve">Dec 2 – Dec 3</w:t>
            </w:r>
          </w:p>
          <w:p>
            <w:pPr>
              <w:spacing w:after="60"/>
            </w:pPr>
            <w:r>
              <w:rPr>
                <w:b/>
                <w:bCs/>
                <w:color w:val="FFFFFF"/>
                <w:sz w:val="18"/>
                <w:szCs w:val="18"/>
              </w:rPr>
              <w:t xml:space="preserve">Class Date(s): No class meetings · Last day of classes: 12/3</w:t>
            </w:r>
          </w:p>
          <w:p>
            <w:r>
              <w:rPr>
                <w:i/>
                <w:iCs/>
                <w:color w:val="D9D9D9"/>
                <w:sz w:val="16"/>
                <w:szCs w:val="16"/>
              </w:rPr>
              <w:t xml:space="preserve">No assignments due this week.</w:t>
            </w:r>
          </w:p>
        </w:tc>
        <w:tc>
          <w:tcPr>
            <w:tcW w:type="dxa" w:w="6300"/>
            <w:tcMar>
              <w:top w:type="dxa" w:w="120"/>
              <w:left w:type="dxa" w:w="150"/>
              <w:bottom w:type="dxa" w:w="120"/>
              <w:right w:type="dxa" w:w="150"/>
            </w:tcMar>
          </w:tcPr>
          <w:p>
            <w:pPr>
              <w:spacing w:after="60"/>
            </w:pPr>
            <w:r>
              <w:rPr>
                <w:sz w:val="20"/>
                <w:szCs w:val="20"/>
              </w:rPr>
              <w:t xml:space="preserve">This course does not hold a session on December 3 — your last class meeting was November 19, and your last assignment (the Changing Perspective Mini-Project) was due December 1.</w:t>
            </w:r>
          </w:p>
        </w:tc>
      </w:tr>
    </w:tbl>
    <w:p>
      <w:pPr>
        <w:spacing w:after="120"/>
      </w:pPr>
      <w:r>
        <w:rPr>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2026-07-21T03:39:11.736Z</dcterms:created>
  <dcterms:modified xsi:type="dcterms:W3CDTF">2026-07-21T03:39:11.750Z</dcterms:modified>
</cp:coreProperties>
</file>

<file path=docProps/custom.xml><?xml version="1.0" encoding="utf-8"?>
<Properties xmlns="http://schemas.openxmlformats.org/officeDocument/2006/custom-properties" xmlns:vt="http://schemas.openxmlformats.org/officeDocument/2006/docPropsVTypes"/>
</file>