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Tale: Statewide generalized liner model results for S1 NTD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8"/>
        <w:gridCol w:w="2866"/>
        <w:gridCol w:w="1127"/>
        <w:gridCol w:w="995"/>
        <w:gridCol w:w="864"/>
        <w:gridCol w:w="831"/>
      </w:tblGrid>
      <w:tr>
        <w:trPr>
          <w:trHeight w:val="32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Variable/Metric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2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32.1310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48.89***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SARS-CoV-2 concentration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</w:tr>
      <w:tr>
        <w:trPr>
          <w:trHeight w:val="32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sample depth of read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</w:tr>
      <w:tr>
        <w:trPr>
          <w:trHeight w:val="32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samples sequenced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2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samples collected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</w:tr>
      <w:tr>
        <w:trPr>
          <w:trHeight w:val="32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genome coverage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</w:tr>
      <w:tr>
        <w:trPr>
          <w:trHeight w:val="29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Efron R2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Full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807.7620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2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46.98***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32.63***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Efron R2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S1 NTD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819.8210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2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Concentration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Concentration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SARS-CoV-2 concentration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92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Concentration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Concentration 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Efron R2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16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Concentration model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1,037.4990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2025-09-25T16:49:25Z</dcterms:modified>
  <cp:category/>
</cp:coreProperties>
</file>