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Heading1"/>
      </w:pPr>
      <w:bookmarkStart w:id="1" w:name="삶의-만족도와-자살률-간의-상관관계-분석-보고서-2020-2024"/>
      <w:r>
        <w:t>삶의 만족도와 자살률 간의 상관관계 분석 보고서 (2020-2024)</w:t>
      </w:r>
    </w:p>
    <w:p>
      <w:pPr>
        <w:pStyle w:val="FirstParagraph"/>
      </w:pPr>
      <w:r>
        <w:t>본 보고서는 국가데이터처의 「사회조사」(삶의 만족도) 및 「사망원인통계」(인구 십만명당 자살률) 데이터를 결합하여, 2020년부터 2024년까지의 전국 17개 시도별 삶의 만족도와 자살률 간의 상관관계를 통계적·시각적으로 정밀 분석한 보고서입니다.</w:t>
      </w:r>
    </w:p>
    <w:p>
      <w:r>
        <w:pict>
          <v:rect id="1025" style="margin-left:0pt;margin-top:0pt;width:0pt;height:1.5pt;mso-position-horizontal-relative:column;mso-position-vertical-relative:line;z-index:0" o:hrpct="1000" o:hralign="center" o:hrstd="t" o:hrnoshade="f" o:hr="t" o:allowincell="t" filled="t" fillcolor="#ffffff" stroked="t" strokecolor="#0" strokeweight="1pt">
            <v:stroke joinstyle="round"/>
          </v:rect>
        </w:pict>
      </w:r>
    </w:p>
    <w:p>
      <w:pPr>
        <w:pStyle w:val="Heading2"/>
      </w:pPr>
      <w:bookmarkStart w:id="2" w:name="분석-개요-및-데이터-전처리"/>
      <w:r>
        <w:t>1. 분석 개요 및 데이터 전처리</w:t>
      </w:r>
    </w:p>
    <w:p>
      <w:pPr>
        <w:pStyle w:val="Heading3"/>
      </w:pPr>
      <w:bookmarkStart w:id="3" w:name="분석-데이터-개요"/>
      <w:r>
        <w:t>1.1 분석 데이터 개요</w:t>
      </w:r>
    </w:p>
    <w:p>
      <w:pPr>
        <w:pStyle w:val="Compact"/>
        <w:numPr>
          <w:ilvl w:val="0"/>
          <w:numId w:val="1"/>
        </w:numPr>
      </w:pPr>
      <w:r>
        <w:rPr>
          <w:b/>
          <w:bCs/>
        </w:rPr>
        <w:t>데이터 1 (삶의 만족도)</w:t>
      </w:r>
      <w:r>
        <w:t>: 2020~2024년 시도별 삶의 만족도 비율 (%)</w:t>
      </w:r>
    </w:p>
    <w:p>
      <w:pPr>
        <w:pStyle w:val="Compact"/>
        <w:numPr>
          <w:ilvl w:val="1"/>
          <w:numId w:val="2"/>
        </w:numPr>
      </w:pPr>
      <w:r>
        <w:t>매우 만족, 약간 만족, 보통, 약간 불만족, 매우 불만족의 5개 척도 구성</w:t>
      </w:r>
    </w:p>
    <w:p>
      <w:pPr>
        <w:pStyle w:val="Compact"/>
        <w:numPr>
          <w:ilvl w:val="0"/>
          <w:numId w:val="1"/>
        </w:numPr>
      </w:pPr>
      <w:r>
        <w:rPr>
          <w:b/>
          <w:bCs/>
        </w:rPr>
        <w:t>데이터 2 (자살률)</w:t>
      </w:r>
      <w:r>
        <w:t>: 2020~2024년 시도별 인구 10만 명당 자살률 (명)</w:t>
      </w:r>
    </w:p>
    <w:p>
      <w:pPr>
        <w:pStyle w:val="Compact"/>
        <w:numPr>
          <w:ilvl w:val="1"/>
          <w:numId w:val="3"/>
        </w:numPr>
      </w:pPr>
      <w:r>
        <w:t>전체(계), 남성, 여성 데이터 구성</w:t>
      </w:r>
    </w:p>
    <w:p>
      <w:pPr>
        <w:pStyle w:val="Heading3"/>
      </w:pPr>
      <w:bookmarkEnd w:id="3"/>
      <w:bookmarkStart w:id="4" w:name="데이터-전처리-및-정량화"/>
      <w:r>
        <w:t>1.2 데이터 전처리 및 정량화</w:t>
      </w:r>
    </w:p>
    <w:p>
      <w:pPr>
        <w:pStyle w:val="Compact"/>
        <w:numPr>
          <w:ilvl w:val="0"/>
          <w:numId w:val="4"/>
        </w:numPr>
      </w:pPr>
      <w:r>
        <w:rPr>
          <w:b/>
          <w:bCs/>
        </w:rPr>
        <w:t>지역명 표준화</w:t>
      </w:r>
      <w:r>
        <w:t>: 두 데이터의 지역 표기법(예:</w:t>
      </w:r>
      <w:r>
        <w:t xml:space="preserve"> </w:t>
      </w:r>
      <w:r>
        <w:t>‘전북특별자치도’</w:t>
      </w:r>
      <w:r>
        <w:t xml:space="preserve"> </w:t>
      </w:r>
      <w:r>
        <w:t>↔</w:t>
      </w:r>
      <w:r>
        <w:t xml:space="preserve"> </w:t>
      </w:r>
      <w:r>
        <w:t>‘전라북도’</w:t>
      </w:r>
      <w:r>
        <w:t>,</w:t>
      </w:r>
      <w:r>
        <w:t xml:space="preserve"> </w:t>
      </w:r>
      <w:r>
        <w:t>‘제주특별자치도’</w:t>
      </w:r>
      <w:r>
        <w:t xml:space="preserve"> </w:t>
      </w:r>
      <w:r>
        <w:t>↔</w:t>
      </w:r>
      <w:r>
        <w:t xml:space="preserve"> </w:t>
      </w:r>
      <w:r>
        <w:t>‘제주도’</w:t>
      </w:r>
      <w:r>
        <w:t>)을 17개 시도 행정구역 명칭으로 통일하여 결합했습니다.</w:t>
      </w:r>
    </w:p>
    <w:p>
      <w:pPr>
        <w:pStyle w:val="Compact"/>
        <w:numPr>
          <w:ilvl w:val="0"/>
          <w:numId w:val="4"/>
        </w:numPr>
      </w:pPr>
      <w:r>
        <w:rPr>
          <w:b/>
          <w:bCs/>
        </w:rPr>
        <w:t>평균 만족도 점수 산출</w:t>
      </w:r>
      <w:r>
        <w:t>: 삶의 만족도 5단계 비율을 점수화하기 위해 다음과 같이 가중 평균을 적용한</w:t>
      </w:r>
      <w:r>
        <w:t xml:space="preserve"> </w:t>
      </w:r>
      <w:r>
        <w:rPr>
          <w:b/>
          <w:bCs/>
        </w:rPr>
        <w:t>‘평균 만족도 점수 (5점 만점)’</w:t>
      </w:r>
      <w:r>
        <w:t>를 산출했습니다.</w:t>
      </w:r>
    </w:p>
    <w:p>
      <w:pPr>
        <w:pStyle w:val="Compact"/>
        <w:jc w:val="center"/>
      </w:pPr>
      <m:oMathPara>
        <m:oMathParaPr>
          <m:jc m:val="center"/>
        </m:oMathParaPr>
        <m:oMath>
          <m:r>
            <m:rPr>
              <m:nor m:val="1"/>
              <m:sty m:val="p"/>
            </m:rPr>
            <m:t>평균 만족도 점수</m:t>
          </m:r>
          <m:r>
            <m:rPr>
              <m:sty m:val="p"/>
            </m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d>
                <m:dPr>
                  <m:sepChr m:val="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nor m:val="1"/>
                      <m:sty m:val="p"/>
                    </m:rPr>
                    <m:t>매우만족</m:t>
                  </m:r>
                  <m:r>
                    <m:rPr>
                      <m:sty m:val="p"/>
                    </m:rPr>
                    <m:t>×</m:t>
                  </m:r>
                  <m:r>
                    <m:t>5</m:t>
                  </m:r>
                </m:e>
              </m:d>
              <m:r>
                <m:rPr>
                  <m:sty m:val="p"/>
                </m:rPr>
                <m:t>+</m:t>
              </m:r>
              <m:d>
                <m:dPr>
                  <m:sepChr m:val="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nor m:val="1"/>
                      <m:sty m:val="p"/>
                    </m:rPr>
                    <m:t>약간만족</m:t>
                  </m:r>
                  <m:r>
                    <m:rPr>
                      <m:sty m:val="p"/>
                    </m:rPr>
                    <m:t>×</m:t>
                  </m:r>
                  <m:r>
                    <m:t>4</m:t>
                  </m:r>
                </m:e>
              </m:d>
              <m:r>
                <m:rPr>
                  <m:sty m:val="p"/>
                </m:rPr>
                <m:t>+</m:t>
              </m:r>
              <m:d>
                <m:dPr>
                  <m:sepChr m:val="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nor m:val="1"/>
                      <m:sty m:val="p"/>
                    </m:rPr>
                    <m:t>보통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e>
              </m:d>
              <m:r>
                <m:rPr>
                  <m:sty m:val="p"/>
                </m:rPr>
                <m:t>+</m:t>
              </m:r>
              <m:d>
                <m:dPr>
                  <m:sepChr m:val="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nor m:val="1"/>
                      <m:sty m:val="p"/>
                    </m:rPr>
                    <m:t>약간불만족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e>
              </m:d>
              <m:r>
                <m:rPr>
                  <m:sty m:val="p"/>
                </m:rPr>
                <m:t>+</m:t>
              </m:r>
              <m:d>
                <m:dPr>
                  <m:sepChr m:val="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nor m:val="1"/>
                      <m:sty m:val="p"/>
                    </m:rPr>
                    <m:t>매우불만족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e>
              </m:d>
            </m:num>
            <m:den>
              <m:r>
                <m:t>100</m:t>
              </m:r>
            </m:den>
          </m:f>
        </m:oMath>
      </m:oMathPara>
    </w:p>
    <w:p>
      <w:pPr>
        <w:pStyle w:val="Compact"/>
        <w:numPr>
          <w:ilvl w:val="0"/>
          <w:numId w:val="4"/>
        </w:numPr>
      </w:pPr>
      <w:r>
        <w:rPr>
          <w:b/>
          <w:bCs/>
        </w:rPr>
        <w:t>만족율 및 불만족율</w:t>
      </w:r>
      <w:r>
        <w:t>: 긍정 답변(매우 만족 + 약간 만족)의 합을</w:t>
      </w:r>
      <w:r>
        <w:t xml:space="preserve"> </w:t>
      </w:r>
      <w:r>
        <w:rPr>
          <w:b/>
          <w:bCs/>
        </w:rPr>
        <w:t>만족율(%)</w:t>
      </w:r>
      <w:r>
        <w:t>, 부정 답변(약간 불만족 + 매우 불만족)의 합을</w:t>
      </w:r>
      <w:r>
        <w:t xml:space="preserve"> </w:t>
      </w:r>
      <w:r>
        <w:rPr>
          <w:b/>
          <w:bCs/>
        </w:rPr>
        <w:t>불만족율(%)</w:t>
      </w:r>
      <w:r>
        <w:t>로 정의했습니다.</w:t>
      </w:r>
    </w:p>
    <w:p>
      <w:r>
        <w:pict>
          <v:rect id="1026" style="margin-left:0pt;margin-top:0pt;width:0pt;height:1.5pt;mso-position-horizontal-relative:column;mso-position-vertical-relative:line;z-index:0" o:hrpct="1000" o:hralign="center" o:hrstd="t" o:hrnoshade="f" o:hr="t" o:allowincell="t" filled="t" fillcolor="#ffffff" stroked="t" strokecolor="#0" strokeweight="1pt">
            <v:stroke joinstyle="round"/>
          </v:rect>
        </w:pict>
      </w:r>
    </w:p>
    <w:p>
      <w:pPr>
        <w:pStyle w:val="Heading2"/>
      </w:pPr>
      <w:bookmarkEnd w:id="2"/>
      <w:bookmarkEnd w:id="4"/>
      <w:bookmarkStart w:id="5" w:name="전국-단위-시계열-추이-분석-국가-수준"/>
      <w:r>
        <w:br w:type="page"/>
      </w:r>
    </w:p>
    <w:p>
      <w:pPr>
        <w:pStyle w:val="Heading2"/>
      </w:pPr>
      <w:r>
        <w:t>2. 전국 단위 시계열 추이 분석 (국가 수준)</w:t>
      </w:r>
    </w:p>
    <w:p>
      <w:pPr>
        <w:pStyle w:val="FirstParagraph"/>
      </w:pPr>
      <w:r>
        <w:t>전국(National) 데이터를 기준으로 연도별 흐름을 분석한 결과,</w:t>
      </w:r>
      <w:r>
        <w:t xml:space="preserve"> </w:t>
      </w:r>
      <w:r>
        <w:rPr>
          <w:b/>
          <w:bCs/>
        </w:rPr>
        <w:t>국가 전체 차원에서는 삶의 만족도와 자살률 간의 역(Inverse)관계</w:t>
      </w:r>
      <w:r>
        <w:t>를 확인할 수 있습니다.</w:t>
      </w:r>
    </w:p>
    <w:tbl>
      <w:tblPr>
        <w:tblStyle w:val="Table"/>
        <w:tblW w:w="5000" w:type="pct"/>
        <w:tblLook w:val="0020" w:firstRow="1" w:lastRow="0" w:firstColumn="0" w:lastColumn="0" w:noHBand="0" w:noVBand="0"/>
        <w:tblLayout w:type="fixed"/>
      </w:tblPr>
      <w:tblGrid>
        <w:gridCol w:w="1092"/>
        <w:gridCol w:w="1365"/>
        <w:gridCol w:w="1365"/>
        <w:gridCol w:w="1365"/>
        <w:gridCol w:w="1365"/>
        <w:gridCol w:w="1365"/>
      </w:tblGrid>
      <w:tr>
        <w:trPr>
          <w:tblHeader/>
        </w:trPr>
        <w:tc>
          <w:tcPr/>
          <w:p>
            <w:pPr>
              <w:pStyle w:val="Compact"/>
              <w:jc w:val="left"/>
            </w:pPr>
            <w:r>
              <w:t>연도</w:t>
            </w:r>
          </w:p>
        </w:tc>
        <w:tc>
          <w:tcPr/>
          <w:p>
            <w:pPr>
              <w:pStyle w:val="Compact"/>
              <w:jc w:val="center"/>
            </w:pPr>
            <w:r>
              <w:t>만족율 (%)</w:t>
            </w:r>
          </w:p>
        </w:tc>
        <w:tc>
          <w:tcPr/>
          <w:p>
            <w:pPr>
              <w:pStyle w:val="Compact"/>
              <w:jc w:val="center"/>
            </w:pPr>
            <w:r>
              <w:t>평균 만족도 점수 (5점 만점)</w:t>
            </w:r>
          </w:p>
        </w:tc>
        <w:tc>
          <w:tcPr/>
          <w:p>
            <w:pPr>
              <w:pStyle w:val="Compact"/>
              <w:jc w:val="center"/>
            </w:pPr>
            <w:r>
              <w:t>전국 자살률 (10만 명당, 명)</w:t>
            </w:r>
          </w:p>
        </w:tc>
        <w:tc>
          <w:tcPr/>
          <w:p>
            <w:pPr>
              <w:pStyle w:val="Compact"/>
              <w:jc w:val="center"/>
            </w:pPr>
            <w:r>
              <w:t>남성 자살률 (명)</w:t>
            </w:r>
          </w:p>
        </w:tc>
        <w:tc>
          <w:tcPr/>
          <w:p>
            <w:pPr>
              <w:pStyle w:val="Compact"/>
              <w:jc w:val="center"/>
            </w:pPr>
            <w:r>
              <w:t>여성 자살률 (명)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>2020</w:t>
            </w:r>
          </w:p>
        </w:tc>
        <w:tc>
          <w:tcPr/>
          <w:p>
            <w:pPr>
              <w:pStyle w:val="Compact"/>
              <w:jc w:val="center"/>
            </w:pPr>
            <w:r>
              <w:t>42.7</w:t>
            </w:r>
          </w:p>
        </w:tc>
        <w:tc>
          <w:tcPr/>
          <w:p>
            <w:pPr>
              <w:pStyle w:val="Compact"/>
              <w:jc w:val="center"/>
            </w:pPr>
            <w:r>
              <w:t>3.423</w:t>
            </w:r>
          </w:p>
        </w:tc>
        <w:tc>
          <w:tcPr/>
          <w:p>
            <w:pPr>
              <w:pStyle w:val="Compact"/>
              <w:jc w:val="center"/>
            </w:pPr>
            <w:r>
              <w:t>25.7</w:t>
            </w:r>
          </w:p>
        </w:tc>
        <w:tc>
          <w:tcPr/>
          <w:p>
            <w:pPr>
              <w:pStyle w:val="Compact"/>
              <w:jc w:val="center"/>
            </w:pPr>
            <w:r>
              <w:t>35.5</w:t>
            </w:r>
          </w:p>
        </w:tc>
        <w:tc>
          <w:tcPr/>
          <w:p>
            <w:pPr>
              <w:pStyle w:val="Compact"/>
              <w:jc w:val="center"/>
            </w:pPr>
            <w:r>
              <w:t>15.9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>2021</w:t>
            </w:r>
          </w:p>
        </w:tc>
        <w:tc>
          <w:tcPr/>
          <w:p>
            <w:pPr>
              <w:pStyle w:val="Compact"/>
              <w:jc w:val="center"/>
            </w:pPr>
            <w:r>
              <w:t>34.0</w:t>
            </w:r>
          </w:p>
        </w:tc>
        <w:tc>
          <w:tcPr/>
          <w:p>
            <w:pPr>
              <w:pStyle w:val="Compact"/>
              <w:jc w:val="center"/>
            </w:pPr>
            <w:r>
              <w:t>3.161</w:t>
            </w:r>
          </w:p>
        </w:tc>
        <w:tc>
          <w:tcPr/>
          <w:p>
            <w:pPr>
              <w:pStyle w:val="Compact"/>
              <w:jc w:val="center"/>
            </w:pPr>
            <w:r>
              <w:t>26.0</w:t>
            </w:r>
          </w:p>
        </w:tc>
        <w:tc>
          <w:tcPr/>
          <w:p>
            <w:pPr>
              <w:pStyle w:val="Compact"/>
              <w:jc w:val="center"/>
            </w:pPr>
            <w:r>
              <w:t>35.9</w:t>
            </w:r>
          </w:p>
        </w:tc>
        <w:tc>
          <w:tcPr/>
          <w:p>
            <w:pPr>
              <w:pStyle w:val="Compact"/>
              <w:jc w:val="center"/>
            </w:pPr>
            <w:r>
              <w:t>16.2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>2022</w:t>
            </w:r>
          </w:p>
        </w:tc>
        <w:tc>
          <w:tcPr/>
          <w:p>
            <w:pPr>
              <w:pStyle w:val="Compact"/>
              <w:jc w:val="center"/>
            </w:pPr>
            <w:r>
              <w:t>43.3</w:t>
            </w:r>
          </w:p>
        </w:tc>
        <w:tc>
          <w:tcPr/>
          <w:p>
            <w:pPr>
              <w:pStyle w:val="Compact"/>
              <w:jc w:val="center"/>
            </w:pPr>
            <w:r>
              <w:t>3.388</w:t>
            </w:r>
          </w:p>
        </w:tc>
        <w:tc>
          <w:tcPr/>
          <w:p>
            <w:pPr>
              <w:pStyle w:val="Compact"/>
              <w:jc w:val="center"/>
            </w:pPr>
            <w:r>
              <w:t>25.2</w:t>
            </w:r>
          </w:p>
        </w:tc>
        <w:tc>
          <w:tcPr/>
          <w:p>
            <w:pPr>
              <w:pStyle w:val="Compact"/>
              <w:jc w:val="center"/>
            </w:pPr>
            <w:r>
              <w:t>35.3</w:t>
            </w:r>
          </w:p>
        </w:tc>
        <w:tc>
          <w:tcPr/>
          <w:p>
            <w:pPr>
              <w:pStyle w:val="Compact"/>
              <w:jc w:val="center"/>
            </w:pPr>
            <w:r>
              <w:t>15.1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>2023</w:t>
            </w:r>
          </w:p>
        </w:tc>
        <w:tc>
          <w:tcPr/>
          <w:p>
            <w:pPr>
              <w:pStyle w:val="Compact"/>
              <w:jc w:val="center"/>
            </w:pPr>
            <w:r>
              <w:t>42.2</w:t>
            </w:r>
          </w:p>
        </w:tc>
        <w:tc>
          <w:tcPr/>
          <w:p>
            <w:pPr>
              <w:pStyle w:val="Compact"/>
              <w:jc w:val="center"/>
            </w:pPr>
            <w:r>
              <w:t>3.366</w:t>
            </w:r>
          </w:p>
        </w:tc>
        <w:tc>
          <w:tcPr/>
          <w:p>
            <w:pPr>
              <w:pStyle w:val="Compact"/>
              <w:jc w:val="center"/>
            </w:pPr>
            <w:r>
              <w:t>27.3</w:t>
            </w:r>
          </w:p>
        </w:tc>
        <w:tc>
          <w:tcPr/>
          <w:p>
            <w:pPr>
              <w:pStyle w:val="Compact"/>
              <w:jc w:val="center"/>
            </w:pPr>
            <w:r>
              <w:t>38.3</w:t>
            </w:r>
          </w:p>
        </w:tc>
        <w:tc>
          <w:tcPr/>
          <w:p>
            <w:pPr>
              <w:pStyle w:val="Compact"/>
              <w:jc w:val="center"/>
            </w:pPr>
            <w:r>
              <w:t>16.5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>2024</w:t>
            </w:r>
          </w:p>
        </w:tc>
        <w:tc>
          <w:tcPr/>
          <w:p>
            <w:pPr>
              <w:pStyle w:val="Compact"/>
              <w:jc w:val="center"/>
            </w:pPr>
            <w:r>
              <w:t>40.1</w:t>
            </w:r>
          </w:p>
        </w:tc>
        <w:tc>
          <w:tcPr/>
          <w:p>
            <w:pPr>
              <w:pStyle w:val="Compact"/>
              <w:jc w:val="center"/>
            </w:pPr>
            <w:r>
              <w:t>3.367</w:t>
            </w:r>
          </w:p>
        </w:tc>
        <w:tc>
          <w:tcPr/>
          <w:p>
            <w:pPr>
              <w:pStyle w:val="Compact"/>
              <w:jc w:val="center"/>
            </w:pPr>
            <w:r>
              <w:t>29.1</w:t>
            </w:r>
          </w:p>
        </w:tc>
        <w:tc>
          <w:tcPr/>
          <w:p>
            <w:pPr>
              <w:pStyle w:val="Compact"/>
              <w:jc w:val="center"/>
            </w:pPr>
            <w:r>
              <w:t>41.8</w:t>
            </w:r>
          </w:p>
        </w:tc>
        <w:tc>
          <w:tcPr/>
          <w:p>
            <w:pPr>
              <w:pStyle w:val="Compact"/>
              <w:jc w:val="center"/>
            </w:pPr>
            <w:r>
              <w:t>16.6</w:t>
            </w:r>
          </w:p>
        </w:tc>
      </w:tr>
    </w:tbl>
    <w:p>
      <w:pPr>
        <w:pStyle w:val="BlockText"/>
      </w:pPr>
      <w:r>
        <w:t>[!NOTE]</w:t>
      </w:r>
      <w:r>
        <w:t xml:space="preserve"> </w:t>
      </w:r>
      <w:r>
        <w:t>*</w:t>
      </w:r>
      <w:r>
        <w:t xml:space="preserve"> </w:t>
      </w:r>
      <w:r>
        <w:rPr>
          <w:b/>
          <w:bCs/>
        </w:rPr>
        <w:t>2020년 → 2021년</w:t>
      </w:r>
      <w:r>
        <w:t>: 코로나19 여파로 전국 평균 만족도 점수가</w:t>
      </w:r>
      <w:r>
        <w:t xml:space="preserve"> </w:t>
      </w:r>
      <w:r>
        <w:rPr>
          <w:b/>
          <w:bCs/>
        </w:rPr>
        <w:t>3.423점에서 3.161점으로 급감</w:t>
      </w:r>
      <w:r>
        <w:t>했을 때, 자살률은</w:t>
      </w:r>
      <w:r>
        <w:t xml:space="preserve"> </w:t>
      </w:r>
      <w:r>
        <w:rPr>
          <w:b/>
          <w:bCs/>
        </w:rPr>
        <w:t>25.7명에서 26.0명으로 상승</w:t>
      </w:r>
      <w:r>
        <w:t>했습니다.</w:t>
      </w:r>
      <w:r>
        <w:t xml:space="preserve"> </w:t>
      </w:r>
      <w:r>
        <w:t>*</w:t>
      </w:r>
      <w:r>
        <w:t xml:space="preserve"> </w:t>
      </w:r>
      <w:r>
        <w:rPr>
          <w:b/>
          <w:bCs/>
        </w:rPr>
        <w:t>2021년 → 2022년</w:t>
      </w:r>
      <w:r>
        <w:t>: 일상 회복과 함께 삶의 만족도가</w:t>
      </w:r>
      <w:r>
        <w:t xml:space="preserve"> </w:t>
      </w:r>
      <w:r>
        <w:rPr>
          <w:b/>
          <w:bCs/>
        </w:rPr>
        <w:t>3.388점으로 반등</w:t>
      </w:r>
      <w:r>
        <w:t>하자, 자살률은</w:t>
      </w:r>
      <w:r>
        <w:t xml:space="preserve"> </w:t>
      </w:r>
      <w:r>
        <w:rPr>
          <w:b/>
          <w:bCs/>
        </w:rPr>
        <w:t>25.2명으로 감소</w:t>
      </w:r>
      <w:r>
        <w:t>했습니다.</w:t>
      </w:r>
      <w:r>
        <w:t xml:space="preserve"> </w:t>
      </w:r>
      <w:r>
        <w:t>*</w:t>
      </w:r>
      <w:r>
        <w:t xml:space="preserve"> </w:t>
      </w:r>
      <w:r>
        <w:rPr>
          <w:b/>
          <w:bCs/>
        </w:rPr>
        <w:t>2022년 → 2024년</w:t>
      </w:r>
      <w:r>
        <w:t>: 삶의 만족도가 정체 내지 소폭 감소(3.388점 → 3.367점)하는 상황에서 자살률은</w:t>
      </w:r>
      <w:r>
        <w:t xml:space="preserve"> </w:t>
      </w:r>
      <w:r>
        <w:rPr>
          <w:b/>
          <w:bCs/>
        </w:rPr>
        <w:t>25.2명에서 29.1명으로 대폭 상승</w:t>
      </w:r>
      <w:r>
        <w:t>하는 양상을 보였습니다. 2024년의 자살률 상승은 남성 자살률(41.8명)의 급격한 증가가 견인했습니다.</w:t>
      </w:r>
    </w:p>
    <w:p>
      <w:pPr>
        <w:pStyle w:val="CaptionedFigure"/>
      </w:pPr>
      <w:r>
        <w:drawing>
          <wp:inline distT="0" distB="0" distL="180" distR="180">
            <wp:extent cx="4772025" cy="3408588"/>
            <wp:effectExtent l="0" t="0" r="0" b="0"/>
            <wp:docPr id="1027" name="shape1027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3408588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>전국 삶의 만족도 및 자살률 추이</w:t>
      </w:r>
    </w:p>
    <w:p>
      <w:r>
        <w:pict>
          <v:rect id="1028" style="margin-left:0pt;margin-top:0pt;width:0pt;height:1.5pt;mso-position-horizontal-relative:column;mso-position-vertical-relative:line;z-index:0" o:hrpct="1000" o:hralign="center" o:hrstd="t" o:hrnoshade="f" o:hr="t" o:allowincell="t" filled="t" fillcolor="#ffffff" stroked="t" strokecolor="#0" strokeweight="1pt">
            <v:stroke joinstyle="round"/>
          </v:rect>
        </w:pict>
      </w:r>
    </w:p>
    <w:p>
      <w:pPr>
        <w:pStyle w:val="Heading2"/>
      </w:pPr>
      <w:bookmarkEnd w:id="5"/>
      <w:bookmarkStart w:id="6" w:name="시도별-상관관계-분석-regional-correlation"/>
      <w:r>
        <w:t>3. 시도별 상관관계 분석 (Regional Correlation)</w:t>
      </w:r>
    </w:p>
    <w:p>
      <w:pPr>
        <w:pStyle w:val="FirstParagraph"/>
      </w:pPr>
      <w:r>
        <w:t>전국 17개 시도 데이터를 매칭하여 삶의 만족도 지표와 자살률 간의 피어슨(Pearson) 상관계수를 분석했습니다. (전국 평균 행 제외,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85</m:t>
        </m:r>
      </m:oMath>
      <w:r>
        <w:t xml:space="preserve"> </w:t>
      </w:r>
      <w:r>
        <w:t>개 관측치)</w:t>
      </w:r>
    </w:p>
    <w:p>
      <w:pPr>
        <w:pStyle w:val="Heading3"/>
      </w:pPr>
      <w:bookmarkStart w:id="7" w:name="전체-기간-통합-상관계수"/>
      <w:r>
        <w:t>3.1 전체 기간 통합 상관계수</w:t>
      </w:r>
    </w:p>
    <w:p>
      <w:pPr>
        <w:pStyle w:val="Compact"/>
        <w:numPr>
          <w:ilvl w:val="0"/>
          <w:numId w:val="5"/>
        </w:numPr>
      </w:pPr>
      <w:r>
        <w:rPr>
          <w:b/>
          <w:bCs/>
        </w:rPr>
        <w:t>평균 만족도 점수 vs 전체 자살률</w:t>
      </w:r>
      <w:r>
        <w:t>: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0.048</m:t>
        </m:r>
      </m:oMath>
      <w:r>
        <w:t xml:space="preserve"> </w:t>
      </w:r>
      <w:r>
        <w:t>(</w:t>
      </w:r>
      <m:oMath>
        <m:r>
          <m:t>p</m:t>
        </m:r>
        <m:r>
          <m:rPr>
            <m:sty m:val="p"/>
          </m:rPr>
          <m:t>=</m:t>
        </m:r>
        <m:r>
          <m:t>0.665</m:t>
        </m:r>
      </m:oMath>
      <w:r>
        <w:t>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>상관관계 없음.</w:t>
      </w:r>
    </w:p>
    <w:p>
      <w:pPr>
        <w:pStyle w:val="Compact"/>
        <w:numPr>
          <w:ilvl w:val="0"/>
          <w:numId w:val="5"/>
        </w:numPr>
      </w:pPr>
      <w:r>
        <w:rPr>
          <w:b/>
          <w:bCs/>
        </w:rPr>
        <w:t>만족율 (%) vs 전체 자살률</w:t>
      </w:r>
      <w:r>
        <w:t>: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0.170</m:t>
        </m:r>
      </m:oMath>
      <w:r>
        <w:t xml:space="preserve"> </w:t>
      </w:r>
      <w:r>
        <w:t>(</w:t>
      </w:r>
      <m:oMath>
        <m:r>
          <m:t>p</m:t>
        </m:r>
        <m:r>
          <m:rPr>
            <m:sty m:val="p"/>
          </m:rPr>
          <m:t>=</m:t>
        </m:r>
        <m:r>
          <m:t>0.119</m:t>
        </m:r>
      </m:oMath>
      <w:r>
        <w:t>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>약한 음의 관계를 보이나 통계적으로 유의하지 않음.</w:t>
      </w:r>
    </w:p>
    <w:p>
      <w:pPr>
        <w:pStyle w:val="Compact"/>
        <w:numPr>
          <w:ilvl w:val="0"/>
          <w:numId w:val="5"/>
        </w:numPr>
      </w:pPr>
      <w:r>
        <w:rPr>
          <w:b/>
          <w:bCs/>
        </w:rPr>
        <w:t>불만족율 (%) vs 전체 자살률</w:t>
      </w:r>
      <w:r>
        <w:t>: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0.177</m:t>
        </m:r>
      </m:oMath>
      <w:r>
        <w:t xml:space="preserve"> </w:t>
      </w:r>
      <w:r>
        <w:t>(</w:t>
      </w:r>
      <m:oMath>
        <m:r>
          <m:t>p</m:t>
        </m:r>
        <m:r>
          <m:rPr>
            <m:sty m:val="p"/>
          </m:rPr>
          <m:t>=</m:t>
        </m:r>
        <m:r>
          <m:t>0.106</m:t>
        </m:r>
      </m:oMath>
      <w:r>
        <w:t>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>약한 음의 관계를 보이나 통계적으로 유의하지 않음.</w:t>
      </w:r>
    </w:p>
    <w:p>
      <w:pPr>
        <w:pStyle w:val="CaptionedFigure"/>
      </w:pPr>
      <w:r>
        <w:drawing>
          <wp:inline distT="0" distB="0" distL="180" distR="180">
            <wp:extent cx="5334000" cy="3810000"/>
            <wp:effectExtent l="0" t="0" r="0" b="0"/>
            <wp:docPr id="1029" name="shape1029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810000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>전체 기간 삶의 만족도와 자살률 산점도</w:t>
      </w:r>
    </w:p>
    <w:p>
      <w:pPr>
        <w:pStyle w:val="Heading3"/>
      </w:pPr>
      <w:bookmarkEnd w:id="7"/>
      <w:bookmarkStart w:id="8" w:name="연도별-상관관계-슬로프의-변화"/>
      <w:r>
        <w:br w:type="page"/>
      </w:r>
    </w:p>
    <w:p>
      <w:pPr>
        <w:pStyle w:val="Heading3"/>
      </w:pPr>
      <w:r>
        <w:t>3.2 연도별 상관관계 슬로프의 변화</w:t>
      </w:r>
    </w:p>
    <w:p>
      <w:pPr>
        <w:pStyle w:val="FirstParagraph"/>
      </w:pPr>
      <w:r>
        <w:t>전체 통합 데이터에서는 상관관계가 유의하지 않지만, 연도별 17개 시도를 쪼개어 분석하면 시간의 흐름에 따른 뚜렷한 슬로프 변화가 포착됩니다.</w:t>
      </w:r>
    </w:p>
    <w:tbl>
      <w:tblPr>
        <w:tblStyle w:val="Table"/>
        <w:tblW w:w="5000" w:type="pct"/>
        <w:tblLook w:val="0020" w:firstRow="1" w:lastRow="0" w:firstColumn="0" w:lastColumn="0" w:noHBand="0" w:noVBand="0"/>
        <w:tblLayout w:type="fixed"/>
      </w:tblPr>
      <w:tblGrid>
        <w:gridCol w:w="1092"/>
        <w:gridCol w:w="1365"/>
        <w:gridCol w:w="1365"/>
        <w:gridCol w:w="1365"/>
        <w:gridCol w:w="1365"/>
        <w:gridCol w:w="1365"/>
      </w:tblGrid>
      <w:tr>
        <w:trPr>
          <w:tblHeader/>
        </w:trPr>
        <w:tc>
          <w:tcPr/>
          <w:p>
            <w:pPr>
              <w:pStyle w:val="Compact"/>
              <w:jc w:val="left"/>
            </w:pPr>
            <w:r>
              <w:t>연도</w:t>
            </w:r>
          </w:p>
        </w:tc>
        <w:tc>
          <w:tcPr/>
          <w:p>
            <w:pPr>
              <w:pStyle w:val="Compact"/>
              <w:jc w:val="center"/>
            </w:pPr>
            <w:r>
              <w:t>분석 지역 수 (</w:t>
            </w:r>
            <m:oMath>
              <m:r>
                <m:t>N</m:t>
              </m:r>
            </m:oMath>
            <w: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t>만족도 점수-자살률 상관계수 (</w:t>
            </w:r>
            <m:oMath>
              <m:r>
                <m:t>r</m:t>
              </m:r>
            </m:oMath>
            <w: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t>유의확률 (</w:t>
            </w:r>
            <m:oMath>
              <m:r>
                <m:t>p</m:t>
              </m:r>
            </m:oMath>
            <w:r>
              <w:t>-value)</w:t>
            </w:r>
          </w:p>
        </w:tc>
        <w:tc>
          <w:tcPr/>
          <w:p>
            <w:pPr>
              <w:pStyle w:val="Compact"/>
              <w:jc w:val="center"/>
            </w:pPr>
            <w:r>
              <w:t>남성 자살률 상관계수 (</w:t>
            </w:r>
            <m:oMath>
              <m:r>
                <m:t>r</m:t>
              </m:r>
            </m:oMath>
            <w:r>
              <w:t>)</w:t>
            </w:r>
          </w:p>
        </w:tc>
        <w:tc>
          <w:tcPr/>
          <w:p>
            <w:pPr>
              <w:pStyle w:val="Compact"/>
              <w:jc w:val="center"/>
            </w:pPr>
            <w:r>
              <w:t>여성 자살률 상관계수 (</w:t>
            </w:r>
            <m:oMath>
              <m:r>
                <m:t>r</m:t>
              </m:r>
            </m:oMath>
            <w:r>
              <w:t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>2020</w:t>
            </w:r>
          </w:p>
        </w:tc>
        <w:tc>
          <w:tcPr/>
          <w:p>
            <w:pPr>
              <w:pStyle w:val="Compact"/>
              <w:jc w:val="center"/>
            </w:pPr>
            <w:r>
              <w:t>17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>-0.514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>0.035</w:t>
            </w:r>
            <w:r>
              <w:t xml:space="preserve"> </w:t>
            </w:r>
            <w:r>
              <w:t>*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>-0.591</w:t>
            </w:r>
            <w:r>
              <w:t xml:space="preserve"> </w:t>
            </w:r>
            <w:r>
              <w:t>*</w:t>
            </w:r>
          </w:p>
        </w:tc>
        <w:tc>
          <w:tcPr/>
          <w:p>
            <w:pPr>
              <w:pStyle w:val="Compact"/>
              <w:jc w:val="center"/>
            </w:pPr>
            <w:r>
              <w:t>0.006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>2021</w:t>
            </w:r>
          </w:p>
        </w:tc>
        <w:tc>
          <w:tcPr/>
          <w:p>
            <w:pPr>
              <w:pStyle w:val="Compact"/>
              <w:jc w:val="center"/>
            </w:pPr>
            <w:r>
              <w:t>17</w:t>
            </w:r>
          </w:p>
        </w:tc>
        <w:tc>
          <w:tcPr/>
          <w:p>
            <w:pPr>
              <w:pStyle w:val="Compact"/>
              <w:jc w:val="center"/>
            </w:pPr>
            <w:r>
              <w:t>0.049</w:t>
            </w:r>
          </w:p>
        </w:tc>
        <w:tc>
          <w:tcPr/>
          <w:p>
            <w:pPr>
              <w:pStyle w:val="Compact"/>
              <w:jc w:val="center"/>
            </w:pPr>
            <w:r>
              <w:t>0.849</w:t>
            </w:r>
          </w:p>
        </w:tc>
        <w:tc>
          <w:tcPr/>
          <w:p>
            <w:pPr>
              <w:pStyle w:val="Compact"/>
              <w:jc w:val="center"/>
            </w:pPr>
            <w:r>
              <w:t>0.087</w:t>
            </w:r>
          </w:p>
        </w:tc>
        <w:tc>
          <w:tcPr/>
          <w:p>
            <w:pPr>
              <w:pStyle w:val="Compact"/>
              <w:jc w:val="center"/>
            </w:pPr>
            <w:r>
              <w:t>-0.093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>2022</w:t>
            </w:r>
          </w:p>
        </w:tc>
        <w:tc>
          <w:tcPr/>
          <w:p>
            <w:pPr>
              <w:pStyle w:val="Compact"/>
              <w:jc w:val="center"/>
            </w:pPr>
            <w:r>
              <w:t>17</w:t>
            </w:r>
          </w:p>
        </w:tc>
        <w:tc>
          <w:tcPr/>
          <w:p>
            <w:pPr>
              <w:pStyle w:val="Compact"/>
              <w:jc w:val="center"/>
            </w:pPr>
            <w:r>
              <w:t>0.077</w:t>
            </w:r>
          </w:p>
        </w:tc>
        <w:tc>
          <w:tcPr/>
          <w:p>
            <w:pPr>
              <w:pStyle w:val="Compact"/>
              <w:jc w:val="center"/>
            </w:pPr>
            <w:r>
              <w:t>0.769</w:t>
            </w:r>
          </w:p>
        </w:tc>
        <w:tc>
          <w:tcPr/>
          <w:p>
            <w:pPr>
              <w:pStyle w:val="Compact"/>
              <w:jc w:val="center"/>
            </w:pPr>
            <w:r>
              <w:t>0.184</w:t>
            </w:r>
          </w:p>
        </w:tc>
        <w:tc>
          <w:tcPr/>
          <w:p>
            <w:pPr>
              <w:pStyle w:val="Compact"/>
              <w:jc w:val="center"/>
            </w:pPr>
            <w:r>
              <w:t>-0.217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>2023</w:t>
            </w:r>
          </w:p>
        </w:tc>
        <w:tc>
          <w:tcPr/>
          <w:p>
            <w:pPr>
              <w:pStyle w:val="Compact"/>
              <w:jc w:val="center"/>
            </w:pPr>
            <w:r>
              <w:t>17</w:t>
            </w:r>
          </w:p>
        </w:tc>
        <w:tc>
          <w:tcPr/>
          <w:p>
            <w:pPr>
              <w:pStyle w:val="Compact"/>
              <w:jc w:val="center"/>
            </w:pPr>
            <w:r>
              <w:t>-0.109</w:t>
            </w:r>
          </w:p>
        </w:tc>
        <w:tc>
          <w:tcPr/>
          <w:p>
            <w:pPr>
              <w:pStyle w:val="Compact"/>
              <w:jc w:val="center"/>
            </w:pPr>
            <w:r>
              <w:t>0.678</w:t>
            </w:r>
          </w:p>
        </w:tc>
        <w:tc>
          <w:tcPr/>
          <w:p>
            <w:pPr>
              <w:pStyle w:val="Compact"/>
              <w:jc w:val="center"/>
            </w:pPr>
            <w:r>
              <w:t>-0.245</w:t>
            </w:r>
          </w:p>
        </w:tc>
        <w:tc>
          <w:tcPr/>
          <w:p>
            <w:pPr>
              <w:pStyle w:val="Compact"/>
              <w:jc w:val="center"/>
            </w:pPr>
            <w:r>
              <w:t>0.362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>2024</w:t>
            </w:r>
          </w:p>
        </w:tc>
        <w:tc>
          <w:tcPr/>
          <w:p>
            <w:pPr>
              <w:pStyle w:val="Compact"/>
              <w:jc w:val="center"/>
            </w:pPr>
            <w:r>
              <w:t>17</w:t>
            </w:r>
          </w:p>
        </w:tc>
        <w:tc>
          <w:tcPr/>
          <w:p>
            <w:pPr>
              <w:pStyle w:val="Compact"/>
              <w:jc w:val="center"/>
            </w:pPr>
            <w:r>
              <w:t>0.230</w:t>
            </w:r>
          </w:p>
        </w:tc>
        <w:tc>
          <w:tcPr/>
          <w:p>
            <w:pPr>
              <w:pStyle w:val="Compact"/>
              <w:jc w:val="center"/>
            </w:pPr>
            <w:r>
              <w:t>0.375</w:t>
            </w:r>
          </w:p>
        </w:tc>
        <w:tc>
          <w:tcPr/>
          <w:p>
            <w:pPr>
              <w:pStyle w:val="Compact"/>
              <w:jc w:val="center"/>
            </w:pPr>
            <w:r>
              <w:t>0.198</w:t>
            </w:r>
          </w:p>
        </w:tc>
        <w:tc>
          <w:tcPr/>
          <w:p>
            <w:pPr>
              <w:pStyle w:val="Compact"/>
              <w:jc w:val="center"/>
            </w:pPr>
            <w:r>
              <w:t>0.081</w:t>
            </w:r>
          </w:p>
        </w:tc>
      </w:tr>
    </w:tbl>
    <w:p>
      <w:pPr>
        <w:pStyle w:val="BlockText"/>
      </w:pPr>
      <w:r>
        <w:t>[!IMPORTANT]</w:t>
      </w:r>
      <w:r>
        <w:t xml:space="preserve"> </w:t>
      </w:r>
      <w:r>
        <w:rPr>
          <w:b/>
          <w:bCs/>
        </w:rPr>
        <w:t>2020년의 유의미한 음의 상관관계 (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0.514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&lt;</m:t>
        </m:r>
        <m:r>
          <m:t>0.05</m:t>
        </m:r>
      </m:oMath>
      <w:r>
        <w:rPr>
          <w:b/>
          <w:bCs/>
        </w:rPr>
        <w:t>)</w:t>
      </w:r>
      <w:r>
        <w:t xml:space="preserve"> </w:t>
      </w:r>
      <w:r>
        <w:t>2020년에는 삶의 만족도가 높은 지역일수록 자살률이 뚜렷하게 낮았습니다. 아래 연도별 회귀선 추이에서 보듯,</w:t>
      </w:r>
      <w:r>
        <w:t xml:space="preserve"> </w:t>
      </w:r>
      <w:r>
        <w:rPr>
          <w:b/>
          <w:bCs/>
        </w:rPr>
        <w:t>2020년에는 뚜렷한 우하향 회귀선</w:t>
      </w:r>
      <w:r>
        <w:t>을 그리던 관계가, 2021년 코로나 피크를 기점으로 회귀선이 편평해지고, 2024년에는 미세한 우상향 형태마저 띄며 상관관계가 무너지는 흐름을 한눈에 볼 수 있습니다.</w:t>
      </w:r>
    </w:p>
    <w:p>
      <w:pPr>
        <w:pStyle w:val="CaptionedFigure"/>
      </w:pPr>
      <w:r>
        <w:drawing>
          <wp:inline distT="0" distB="0" distL="180" distR="180">
            <wp:extent cx="5334000" cy="1939636"/>
            <wp:effectExtent l="0" t="0" r="0" b="0"/>
            <wp:docPr id="1030" name="shape1030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1939636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>연도별 삶의 만족도 점수 vs 자살률 상관관계 추이</w:t>
      </w:r>
    </w:p>
    <w:p>
      <w:pPr>
        <w:pStyle w:val="Heading3"/>
      </w:pPr>
      <w:bookmarkEnd w:id="8"/>
      <w:bookmarkStart w:id="9" w:name="성별에-따른-만족도-자살률-상관관계-격차-2020년-기준"/>
      <w:r>
        <w:br w:type="page"/>
      </w:r>
    </w:p>
    <w:p>
      <w:pPr>
        <w:pStyle w:val="Heading3"/>
      </w:pPr>
      <w:r>
        <w:t>3.3 성별에 따른 만족도-자살률 상관관계 격차 (2020년 기준)</w:t>
      </w:r>
    </w:p>
    <w:p>
      <w:pPr>
        <w:pStyle w:val="FirstParagraph"/>
      </w:pPr>
      <w:r>
        <w:t>2020년에 나타난 강력한 음의 상관관계는 성별 분석 시 더욱 의미 깊은 패턴을 보입니다.</w:t>
      </w:r>
      <w:r>
        <w:t xml:space="preserve"> </w:t>
      </w:r>
      <w:r>
        <w:t>*</w:t>
      </w:r>
      <w:r>
        <w:t xml:space="preserve"> </w:t>
      </w:r>
      <w:r>
        <w:rPr>
          <w:b/>
          <w:bCs/>
        </w:rPr>
        <w:t>남성 자살률-만족도 상관관계</w:t>
      </w:r>
      <w:r>
        <w:t>: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0.591</m:t>
        </m:r>
      </m:oMath>
      <w:r>
        <w:rPr>
          <w:b/>
          <w:bCs/>
        </w:rPr>
        <w:t xml:space="preserve"> </w:t>
      </w:r>
      <w:r>
        <w:rPr>
          <w:b/>
          <w:bCs/>
        </w:rPr>
        <w:t>(</w:t>
      </w:r>
      <m:oMath>
        <m:r>
          <m:t>p</m:t>
        </m:r>
        <m:r>
          <m:rPr>
            <m:sty m:val="p"/>
          </m:rPr>
          <m:t>=</m:t>
        </m:r>
        <m:r>
          <m:t>0.012</m:t>
        </m:r>
      </m:oMath>
      <w:r>
        <w:rPr>
          <w:b/>
          <w:bCs/>
        </w:rPr>
        <w:t xml:space="preserve"> </w:t>
      </w:r>
      <w:r>
        <w:rPr>
          <w:b/>
          <w:bCs/>
        </w:rPr>
        <w:t>* 유의)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>삶의 만족도가 낮은 지역일수록 남성의 자살률이 매우 높게 나타남.</w:t>
      </w:r>
      <w:r>
        <w:t xml:space="preserve"> </w:t>
      </w:r>
      <w:r>
        <w:t>*</w:t>
      </w:r>
      <w:r>
        <w:t xml:space="preserve"> </w:t>
      </w:r>
      <w:r>
        <w:rPr>
          <w:b/>
          <w:bCs/>
        </w:rPr>
        <w:t>여성 자살률-만족도 상관관계</w:t>
      </w:r>
      <w:r>
        <w:t>: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0.006</m:t>
        </m:r>
      </m:oMath>
      <w:r>
        <w:rPr>
          <w:b/>
          <w:bCs/>
        </w:rPr>
        <w:t xml:space="preserve"> </w:t>
      </w:r>
      <w:r>
        <w:rPr>
          <w:b/>
          <w:bCs/>
        </w:rPr>
        <w:t>(</w:t>
      </w:r>
      <m:oMath>
        <m:r>
          <m:t>p</m:t>
        </m:r>
        <m:r>
          <m:rPr>
            <m:sty m:val="p"/>
          </m:rPr>
          <m:t>=</m:t>
        </m:r>
        <m:r>
          <m:t>0.982</m:t>
        </m:r>
      </m:oMath>
      <w:r>
        <w:rPr>
          <w:b/>
          <w:bCs/>
        </w:rPr>
        <w:t xml:space="preserve"> </w:t>
      </w:r>
      <w:r>
        <w:rPr>
          <w:b/>
          <w:bCs/>
        </w:rPr>
        <w:t>무관)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>여성 자살률은 해당 지역의 삶의 만족도 수준과 전혀 상관이 없음.</w:t>
      </w:r>
    </w:p>
    <w:p>
      <w:pPr>
        <w:pStyle w:val="BodyText"/>
      </w:pPr>
      <w:r>
        <w:t>이 현상은 남성의 극단적 선택이 지역의 삶의 만족도(혹은 사회경제적 스트레스 지수)에 훨씬 더 직접적인 영향을 받는 반면, 여성의 자살률은 지역 전체의 만족 지표 외의 다른 심리·사회적 요인(예: 밀착 관계망 등)이 더 큰 작용을 함을 시사합니다.</w:t>
      </w:r>
    </w:p>
    <w:p>
      <w:pPr>
        <w:pStyle w:val="CaptionedFigure"/>
      </w:pPr>
      <w:r>
        <w:drawing>
          <wp:inline distT="0" distB="0" distL="180" distR="180">
            <wp:extent cx="5334000" cy="2667000"/>
            <wp:effectExtent l="0" t="0" r="0" b="0"/>
            <wp:docPr id="1031" name="shape1031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667000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>2020년 성별 자살률과 삶의 만족도 상관관계 비교</w:t>
      </w:r>
    </w:p>
    <w:p>
      <w:r>
        <w:pict>
          <v:rect id="1032" style="margin-left:0pt;margin-top:0pt;width:0pt;height:1.5pt;mso-position-horizontal-relative:column;mso-position-vertical-relative:line;z-index:0" o:hrpct="1000" o:hralign="center" o:hrstd="t" o:hrnoshade="f" o:hr="t" o:allowincell="t" filled="t" fillcolor="#ffffff" stroked="t" strokecolor="#0" strokeweight="1pt">
            <v:stroke joinstyle="round"/>
          </v:rect>
        </w:pict>
      </w:r>
    </w:p>
    <w:p>
      <w:pPr>
        <w:pStyle w:val="Heading2"/>
      </w:pPr>
      <w:bookmarkEnd w:id="6"/>
      <w:bookmarkEnd w:id="9"/>
      <w:bookmarkStart w:id="10" w:name="년-시도별-지표-랭킹-및-지역적-역설-regional-paradox"/>
      <w:r>
        <w:br w:type="page"/>
      </w:r>
    </w:p>
    <w:p>
      <w:pPr>
        <w:pStyle w:val="Heading2"/>
      </w:pPr>
      <w:r>
        <w:t>4. 2024년 시도별 지표 랭킹 및 지역적 역설 (Regional Paradox)</w:t>
      </w:r>
    </w:p>
    <w:p>
      <w:pPr>
        <w:pStyle w:val="FirstParagraph"/>
      </w:pPr>
      <w:r>
        <w:t>2024년 시도별 상세 비교 결과는 만족도와 자살률이 일치하지 않는 ’지역적 역설’을 명확히 증명합니다.</w:t>
      </w:r>
    </w:p>
    <w:p>
      <w:pPr>
        <w:pStyle w:val="Heading3"/>
      </w:pPr>
      <w:bookmarkStart w:id="11" w:name="시도별-지표-랭킹-비교-2024년"/>
      <w:r>
        <w:t>4.1 시도별 지표 랭킹 비교 (2024년)</w:t>
      </w:r>
    </w:p>
    <w:p>
      <w:pPr>
        <w:pStyle w:val="FirstParagraph"/>
      </w:pPr>
      <w:r>
        <w:t>자살률이 가장 높은 지역들과 삶의 만족도가 높은 지역들이 상당수 겹치고 있습니다.</w:t>
      </w:r>
    </w:p>
    <w:p>
      <w:pPr>
        <w:pStyle w:val="CaptionedFigure"/>
      </w:pPr>
      <w:r>
        <w:drawing>
          <wp:inline distT="0" distB="0" distL="180" distR="180">
            <wp:extent cx="5334000" cy="2667000"/>
            <wp:effectExtent l="0" t="0" r="0" b="0"/>
            <wp:docPr id="1033" name="shape1033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667000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>2024년 시도별 자살률 vs 삶의 만족도 지표 랭킹 비교</w:t>
      </w:r>
    </w:p>
    <w:p>
      <w:pPr>
        <w:pStyle w:val="Compact"/>
        <w:numPr>
          <w:ilvl w:val="0"/>
          <w:numId w:val="6"/>
        </w:numPr>
      </w:pPr>
      <w:r>
        <w:rPr>
          <w:b/>
          <w:bCs/>
        </w:rPr>
        <w:t>자살률 상위권</w:t>
      </w:r>
      <w:r>
        <w:t>:</w:t>
      </w:r>
      <w:r>
        <w:t xml:space="preserve"> </w:t>
      </w:r>
      <w:r>
        <w:rPr>
          <w:b/>
          <w:bCs/>
        </w:rPr>
        <w:t>제주(36.3명, 1위)</w:t>
      </w:r>
      <w:r>
        <w:t>,</w:t>
      </w:r>
      <w:r>
        <w:t xml:space="preserve"> </w:t>
      </w:r>
      <w:r>
        <w:rPr>
          <w:b/>
          <w:bCs/>
        </w:rPr>
        <w:t>충남(34.8명, 2위)</w:t>
      </w:r>
      <w:r>
        <w:t>,</w:t>
      </w:r>
      <w:r>
        <w:t xml:space="preserve"> </w:t>
      </w:r>
      <w:r>
        <w:rPr>
          <w:b/>
          <w:bCs/>
        </w:rPr>
        <w:t>전남(34.5명, 3위)</w:t>
      </w:r>
    </w:p>
    <w:p>
      <w:pPr>
        <w:pStyle w:val="Compact"/>
        <w:numPr>
          <w:ilvl w:val="0"/>
          <w:numId w:val="6"/>
        </w:numPr>
      </w:pPr>
      <w:r>
        <w:rPr>
          <w:b/>
          <w:bCs/>
        </w:rPr>
        <w:t>만족도 상위권</w:t>
      </w:r>
      <w:r>
        <w:t>:</w:t>
      </w:r>
      <w:r>
        <w:t xml:space="preserve"> </w:t>
      </w:r>
      <w:r>
        <w:rPr>
          <w:b/>
          <w:bCs/>
        </w:rPr>
        <w:t>충남(3.555점, 1위)</w:t>
      </w:r>
      <w:r>
        <w:t>,</w:t>
      </w:r>
      <w:r>
        <w:t xml:space="preserve"> </w:t>
      </w:r>
      <w:r>
        <w:rPr>
          <w:b/>
          <w:bCs/>
        </w:rPr>
        <w:t>대전(3.521점, 2위)</w:t>
      </w:r>
      <w:r>
        <w:t>,</w:t>
      </w:r>
      <w:r>
        <w:t xml:space="preserve"> </w:t>
      </w:r>
      <w:r>
        <w:rPr>
          <w:b/>
          <w:bCs/>
        </w:rPr>
        <w:t>서울/제주(3.442점, 공동 3위)</w:t>
      </w:r>
    </w:p>
    <w:p>
      <w:pPr>
        <w:pStyle w:val="BlockText"/>
      </w:pPr>
      <w:r>
        <w:t>[!WARNING]</w:t>
      </w:r>
      <w:r>
        <w:t xml:space="preserve"> </w:t>
      </w:r>
      <w:r>
        <w:rPr>
          <w:b/>
          <w:bCs/>
        </w:rPr>
        <w:t>역설적 분포의 확인</w:t>
      </w:r>
      <w:r>
        <w:t xml:space="preserve"> </w:t>
      </w:r>
      <w:r>
        <w:t>*</w:t>
      </w:r>
      <w:r>
        <w:t xml:space="preserve"> </w:t>
      </w:r>
      <w:r>
        <w:rPr>
          <w:b/>
          <w:bCs/>
        </w:rPr>
        <w:t>충청남도</w:t>
      </w:r>
      <w:r>
        <w:t>는 만족도 전국 1위이지만 자살률은 전국 2위입니다.</w:t>
      </w:r>
      <w:r>
        <w:t xml:space="preserve"> </w:t>
      </w:r>
      <w:r>
        <w:t>*</w:t>
      </w:r>
      <w:r>
        <w:t xml:space="preserve"> </w:t>
      </w:r>
      <w:r>
        <w:rPr>
          <w:b/>
          <w:bCs/>
        </w:rPr>
        <w:t>제주특별자치도</w:t>
      </w:r>
      <w:r>
        <w:t>는 만족도 공동 3위이지만 자살률은 전국 1위입니다.</w:t>
      </w:r>
      <w:r>
        <w:t xml:space="preserve"> </w:t>
      </w:r>
      <w:r>
        <w:t>*</w:t>
      </w:r>
      <w:r>
        <w:t xml:space="preserve"> </w:t>
      </w:r>
      <w:r>
        <w:rPr>
          <w:b/>
          <w:bCs/>
        </w:rPr>
        <w:t>대구광역시</w:t>
      </w:r>
      <w:r>
        <w:t>는 만족도 전국 최하위(3.217점)이지만 자살률은 29.4명으로 전국 중간 수준이며,</w:t>
      </w:r>
      <w:r>
        <w:t xml:space="preserve"> </w:t>
      </w:r>
      <w:r>
        <w:rPr>
          <w:b/>
          <w:bCs/>
        </w:rPr>
        <w:t>경기도</w:t>
      </w:r>
      <w:r>
        <w:t xml:space="preserve"> </w:t>
      </w:r>
      <w:r>
        <w:t>역시 만족도는 하위 3위(3.310점)이지만 자살률은 하위 3위(28.2명)로 낮게 통제되고 있습니다.</w:t>
      </w:r>
    </w:p>
    <w:p>
      <w:pPr>
        <w:pStyle w:val="CaptionedFigure"/>
      </w:pPr>
      <w:r>
        <w:drawing>
          <wp:inline distT="0" distB="0" distL="180" distR="180">
            <wp:extent cx="5334000" cy="3810000"/>
            <wp:effectExtent l="0" t="0" r="0" b="0"/>
            <wp:docPr id="1034" name="shape1034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3810000"/>
                    </a:xfrm>
                    <a:prstGeom prst="rect"/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>2024년 시도별 만족도 및 자살률 분포 산점도</w:t>
      </w:r>
    </w:p>
    <w:p>
      <w:pPr>
        <w:pStyle w:val="Heading3"/>
      </w:pPr>
      <w:bookmarkEnd w:id="11"/>
      <w:bookmarkStart w:id="12" w:name="지역적-역설이-발생하는-이유-사회학적-해석"/>
      <w:r>
        <w:t>4.2 지역적 역설이 발생하는 이유 (사회학적 해석)</w:t>
      </w:r>
    </w:p>
    <w:p>
      <w:pPr>
        <w:pStyle w:val="Compact"/>
        <w:numPr>
          <w:ilvl w:val="0"/>
          <w:numId w:val="7"/>
        </w:numPr>
      </w:pPr>
      <w:r>
        <w:rPr>
          <w:b/>
          <w:bCs/>
        </w:rPr>
        <w:t>인구학적 노령화와 고립 (충남/전남 등)</w:t>
      </w:r>
      <w:r>
        <w:t xml:space="preserve"> </w:t>
      </w:r>
      <w:r>
        <w:t>농어촌 비중이 높은 시도는 청장년층 인구 유출과 고령층 급증을 겪고 있습니다. 대다수 일반 주민은 주관적인 생활 안정으로</w:t>
      </w:r>
      <w:r>
        <w:t xml:space="preserve"> </w:t>
      </w:r>
      <w:r>
        <w:t>‘만족도’</w:t>
      </w:r>
      <w:r>
        <w:t xml:space="preserve"> </w:t>
      </w:r>
      <w:r>
        <w:t>조사에서 높게 평가할 수 있으나, 독거노인의 빈곤·병고·우울증 등 극단적인 취약 지대에 놓인 인구층의 자살 문제가 통계상의 자살률을 높이는</w:t>
      </w:r>
      <w:r>
        <w:t xml:space="preserve"> </w:t>
      </w:r>
      <w:r>
        <w:rPr>
          <w:b/>
          <w:bCs/>
        </w:rPr>
        <w:t>양극화 현상</w:t>
      </w:r>
      <w:r>
        <w:t>이 나타납니다.</w:t>
      </w:r>
    </w:p>
    <w:p>
      <w:pPr>
        <w:pStyle w:val="Compact"/>
        <w:numPr>
          <w:ilvl w:val="0"/>
          <w:numId w:val="7"/>
        </w:numPr>
      </w:pPr>
      <w:r>
        <w:rPr>
          <w:b/>
          <w:bCs/>
        </w:rPr>
        <w:t>물리적 사회 안전망의 격차 (대도시 vs 지방)</w:t>
      </w:r>
      <w:r>
        <w:t xml:space="preserve"> </w:t>
      </w:r>
      <w:r>
        <w:t>서울, 경기 등의 수도권 및 대도시는 일상 경쟁과 비교 스트레스로 인해 보고되는 주관적 삶의 만족도는 낮습니다. 하지만 정신건강 인프라, 응급 보건 체계, 복지 시설 등이 지방에 비해 조밀하게 갖춰져 있어 실질적인 자살 시도 예방 및 위기 대응 면에서 비교적 안전한 환경(자살 방어 인프라)을 가집니다.</w:t>
      </w:r>
    </w:p>
    <w:p>
      <w:pPr>
        <w:pStyle w:val="Compact"/>
        <w:numPr>
          <w:ilvl w:val="0"/>
          <w:numId w:val="7"/>
        </w:numPr>
      </w:pPr>
      <w:r>
        <w:rPr>
          <w:b/>
          <w:bCs/>
        </w:rPr>
        <w:t>제주의 지리적·환경적 요인</w:t>
      </w:r>
      <w:r>
        <w:t xml:space="preserve"> </w:t>
      </w:r>
      <w:r>
        <w:t>제주는 천혜의 자연환경으로 삶의 주관적 만족도는 높지만, 섬이라는 지리적 폐쇄성과 이주민-원주민 간의 융합 갈등, 상대적으로 열악한 응급 의료권 인프라 등으로 위기 상황에서의 취약성이 높게 나타납니다.</w:t>
      </w:r>
    </w:p>
    <w:p>
      <w:r>
        <w:pict>
          <v:rect id="1035" style="margin-left:0pt;margin-top:0pt;width:0pt;height:1.5pt;mso-position-horizontal-relative:column;mso-position-vertical-relative:line;z-index:0" o:hrpct="1000" o:hralign="center" o:hrstd="t" o:hrnoshade="f" o:hr="t" o:allowincell="t" filled="t" fillcolor="#ffffff" stroked="t" strokecolor="#0" strokeweight="1pt">
            <v:stroke joinstyle="round"/>
          </v:rect>
        </w:pict>
      </w:r>
    </w:p>
    <w:p>
      <w:pPr>
        <w:pStyle w:val="Heading2"/>
      </w:pPr>
      <w:bookmarkEnd w:id="10"/>
      <w:bookmarkEnd w:id="12"/>
      <w:bookmarkStart w:id="13" w:name="결론-및-시사점"/>
      <w:r>
        <w:br w:type="page"/>
      </w:r>
    </w:p>
    <w:p>
      <w:pPr>
        <w:pStyle w:val="Heading2"/>
      </w:pPr>
      <w:r>
        <w:t>5. 결론 및 시사점</w:t>
      </w:r>
    </w:p>
    <w:p>
      <w:pPr>
        <w:pStyle w:val="Compact"/>
        <w:numPr>
          <w:ilvl w:val="0"/>
          <w:numId w:val="8"/>
        </w:numPr>
      </w:pPr>
      <w:r>
        <w:rPr>
          <w:b/>
          <w:bCs/>
        </w:rPr>
        <w:t>지표 중심 오판 방지</w:t>
      </w:r>
      <w:r>
        <w:t>: 삶의 만족도가 높게 평가된 지역일지라도 이를 ’정신건강 안전지대’로 해석해서는 안 되며, 만족도 뒤에 가려진 소외 계층의 우울감 진단과 밀착 지원이 병행되어야 합니다.</w:t>
      </w:r>
    </w:p>
    <w:p>
      <w:pPr>
        <w:pStyle w:val="Compact"/>
        <w:numPr>
          <w:ilvl w:val="0"/>
          <w:numId w:val="8"/>
        </w:numPr>
      </w:pPr>
      <w:r>
        <w:rPr>
          <w:b/>
          <w:bCs/>
        </w:rPr>
        <w:t>자살률 예방 인프라의 지역 균형</w:t>
      </w:r>
      <w:r>
        <w:t>: 만족도가 낮으나 자살률이 비교적 방어되는 도시 모델(예: 경기)을 벤치마킹하여, 지방 및 농어촌 지역에 응급 정신건강 센터 확대 및 노인 우울 돌봄 모니터링 등 물리적 자살 방지 안전망을 균등하게 재배치해야 합니다.</w:t>
      </w:r>
    </w:p>
    <w:p>
      <w:pPr>
        <w:pStyle w:val="Compact"/>
        <w:numPr>
          <w:ilvl w:val="0"/>
          <w:numId w:val="8"/>
        </w:numPr>
      </w:pPr>
      <w:r>
        <w:rPr>
          <w:b/>
          <w:bCs/>
        </w:rPr>
        <w:t>성별 맞춤형 사회경제 지원</w:t>
      </w:r>
      <w:r>
        <w:t>: 특히 남성의 자살률이 주관적 만족도 및 사회경제적 요인에 민감하게 우하향 반응했던 만큼, 경제적 고립 상황에 직면한 중장년 및 고령 남성들을 위한 사회적 연대망 구축이 주요한 예방 열쇠가 될 수 있습니다.</w:t>
      </w:r>
      <w:bookmarkEnd w:id="1"/>
      <w:bookmarkEnd w:id="13"/>
    </w:p>
    <w:sectPr>
      <w:pgSz w:w="11906" w:h="16838"/>
      <w:pgMar w:top="1985" w:right="1701" w:bottom="1701" w:left="1701" w:header="720" w:footer="720" w:gutter="0"/>
      <w:cols/>
      <w:docGrid w:linePitch="360"/>
      <w:footnotePr>
        <w:numRestart w:val="eachSect"/>
      </w:footnotePr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Cambria Math">
    <w:panose1 w:val="02040503050406030204"/>
    <w:family w:val="roman"/>
    <w:charset w:val="00"/>
    <w:notTrueType w:val="false"/>
    <w:sig w:usb0="E00006FF" w:usb1="420024FF" w:usb2="02000000" w:usb3="00000001" w:csb0="2000019F" w:csb1="00000001"/>
  </w:font>
  <w:font w:name="Consolas">
    <w:panose1 w:val="020B0609020204030204"/>
    <w:notTrueType w:val="false"/>
    <w:sig w:usb0="E00006FF" w:usb1="0000FCFF" w:usb2="00000001" w:usb3="00000001" w:csb0="6000019F" w:csb1="DFD70000"/>
  </w:font>
  <w:font w:name="Symbol">
    <w:panose1 w:val="05050102010706020507"/>
    <w:notTrueType w:val="false"/>
    <w:sig w:usb0="00000001" w:usb1="00000001" w:usb2="00000001" w:usb3="00000001" w:csb0="80000000" w:csb1="00000001"/>
  </w:font>
  <w:font w:name="Courier New">
    <w:panose1 w:val="02070309020205020404"/>
    <w:family w:val="modern"/>
    <w:charset w:val="00"/>
    <w:notTrueType w:val="false"/>
    <w:sig w:usb0="E0002EFF" w:usb1="C0007843" w:usb2="00000009" w:usb3="00000001" w:csb0="400001FF" w:csb1="FFFF0000"/>
  </w:font>
  <w:font w:name="Wingdings">
    <w:panose1 w:val="05000000000000000000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>
    <w:nsid w:val="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nsid w:val="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>
    <w:nsid w:val="a99411"/>
    <w:multiLevelType w:val="multilevel"/>
    <w:lvl w:ilvl="0">
      <w:start w:val="1"/>
      <w:lvlText w:val="%1."/>
      <w:lvlJc w:val="left"/>
      <w:pPr>
        <w:ind w:left="720" w:hanging="360"/>
      </w:pPr>
    </w:lvl>
    <w:lvl w:ilvl="1">
      <w:start w:val="1"/>
      <w:lvlText w:val="%2."/>
      <w:lvlJc w:val="left"/>
      <w:pPr>
        <w:ind w:left="1440" w:hanging="360"/>
      </w:pPr>
    </w:lvl>
    <w:lvl w:ilvl="2">
      <w:start w:val="1"/>
      <w:lvlText w:val="%3."/>
      <w:lvlJc w:val="left"/>
      <w:pPr>
        <w:ind w:left="2160" w:hanging="360"/>
      </w:pPr>
    </w:lvl>
    <w:lvl w:ilvl="3">
      <w:start w:val="1"/>
      <w:lvlText w:val="%4."/>
      <w:lvlJc w:val="left"/>
      <w:pPr>
        <w:ind w:left="2880" w:hanging="360"/>
      </w:pPr>
    </w:lvl>
    <w:lvl w:ilvl="4">
      <w:start w:val="1"/>
      <w:lvlText w:val="%5."/>
      <w:lvlJc w:val="left"/>
      <w:pPr>
        <w:ind w:left="3600" w:hanging="360"/>
      </w:pPr>
    </w:lvl>
    <w:lvl w:ilvl="5">
      <w:start w:val="1"/>
      <w:lvlText w:val="%6."/>
      <w:lvlJc w:val="left"/>
      <w:pPr>
        <w:ind w:left="4320" w:hanging="360"/>
      </w:pPr>
    </w:lvl>
    <w:lvl w:ilvl="6">
      <w:start w:val="1"/>
      <w:lvlText w:val="%7."/>
      <w:lvlJc w:val="left"/>
      <w:pPr>
        <w:ind w:left="5040" w:hanging="360"/>
      </w:pPr>
    </w:lvl>
    <w:lvl w:ilvl="7">
      <w:start w:val="1"/>
      <w:lvlText w:val="%8."/>
      <w:lvlJc w:val="left"/>
      <w:pPr>
        <w:ind w:left="5760" w:hanging="360"/>
      </w:pPr>
    </w:lvl>
    <w:lvl w:ilvl="8">
      <w:start w:val="1"/>
      <w:lvlText w:val="%9."/>
      <w:lvlJc w:val="left"/>
      <w:pPr>
        <w:ind w:left="6480" w:hanging="360"/>
      </w:pPr>
    </w:lvl>
  </w:abstractNum>
  <w:abstractNum w:abstractNumId="4">
    <w:nsid w:val="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5">
    <w:nsid w:val="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>
    <w:nsid w:val="a99411"/>
    <w:multiLevelType w:val="multilevel"/>
    <w:lvl w:ilvl="0">
      <w:start w:val="1"/>
      <w:lvlText w:val="%1."/>
      <w:lvlJc w:val="left"/>
      <w:pPr>
        <w:ind w:left="720" w:hanging="360"/>
      </w:pPr>
    </w:lvl>
    <w:lvl w:ilvl="1">
      <w:start w:val="1"/>
      <w:lvlText w:val="%2."/>
      <w:lvlJc w:val="left"/>
      <w:pPr>
        <w:ind w:left="1440" w:hanging="360"/>
      </w:pPr>
    </w:lvl>
    <w:lvl w:ilvl="2">
      <w:start w:val="1"/>
      <w:lvlText w:val="%3."/>
      <w:lvlJc w:val="left"/>
      <w:pPr>
        <w:ind w:left="2160" w:hanging="360"/>
      </w:pPr>
    </w:lvl>
    <w:lvl w:ilvl="3">
      <w:start w:val="1"/>
      <w:lvlText w:val="%4."/>
      <w:lvlJc w:val="left"/>
      <w:pPr>
        <w:ind w:left="2880" w:hanging="360"/>
      </w:pPr>
    </w:lvl>
    <w:lvl w:ilvl="4">
      <w:start w:val="1"/>
      <w:lvlText w:val="%5."/>
      <w:lvlJc w:val="left"/>
      <w:pPr>
        <w:ind w:left="3600" w:hanging="360"/>
      </w:pPr>
    </w:lvl>
    <w:lvl w:ilvl="5">
      <w:start w:val="1"/>
      <w:lvlText w:val="%6."/>
      <w:lvlJc w:val="left"/>
      <w:pPr>
        <w:ind w:left="4320" w:hanging="360"/>
      </w:pPr>
    </w:lvl>
    <w:lvl w:ilvl="6">
      <w:start w:val="1"/>
      <w:lvlText w:val="%7."/>
      <w:lvlJc w:val="left"/>
      <w:pPr>
        <w:ind w:left="5040" w:hanging="360"/>
      </w:pPr>
    </w:lvl>
    <w:lvl w:ilvl="7">
      <w:start w:val="1"/>
      <w:lvlText w:val="%8."/>
      <w:lvlJc w:val="left"/>
      <w:pPr>
        <w:ind w:left="5760" w:hanging="360"/>
      </w:pPr>
    </w:lvl>
    <w:lvl w:ilvl="8">
      <w:start w:val="1"/>
      <w:lvlText w:val="%9."/>
      <w:lvlJc w:val="left"/>
      <w:pPr>
        <w:ind w:left="6480" w:hanging="360"/>
      </w:pPr>
    </w:lvl>
  </w:abstractNum>
  <w:abstractNum w:abstractNumId="7">
    <w:nsid w:val="a99411"/>
    <w:multiLevelType w:val="multilevel"/>
    <w:lvl w:ilvl="0">
      <w:start w:val="1"/>
      <w:lvlText w:val="%1."/>
      <w:lvlJc w:val="left"/>
      <w:pPr>
        <w:ind w:left="720" w:hanging="360"/>
      </w:pPr>
    </w:lvl>
    <w:lvl w:ilvl="1">
      <w:start w:val="1"/>
      <w:lvlText w:val="%2."/>
      <w:lvlJc w:val="left"/>
      <w:pPr>
        <w:ind w:left="1440" w:hanging="360"/>
      </w:pPr>
    </w:lvl>
    <w:lvl w:ilvl="2">
      <w:start w:val="1"/>
      <w:lvlText w:val="%3."/>
      <w:lvlJc w:val="left"/>
      <w:pPr>
        <w:ind w:left="2160" w:hanging="360"/>
      </w:pPr>
    </w:lvl>
    <w:lvl w:ilvl="3">
      <w:start w:val="1"/>
      <w:lvlText w:val="%4."/>
      <w:lvlJc w:val="left"/>
      <w:pPr>
        <w:ind w:left="2880" w:hanging="360"/>
      </w:pPr>
    </w:lvl>
    <w:lvl w:ilvl="4">
      <w:start w:val="1"/>
      <w:lvlText w:val="%5."/>
      <w:lvlJc w:val="left"/>
      <w:pPr>
        <w:ind w:left="3600" w:hanging="360"/>
      </w:pPr>
    </w:lvl>
    <w:lvl w:ilvl="5">
      <w:start w:val="1"/>
      <w:lvlText w:val="%6."/>
      <w:lvlJc w:val="left"/>
      <w:pPr>
        <w:ind w:left="4320" w:hanging="360"/>
      </w:pPr>
    </w:lvl>
    <w:lvl w:ilvl="6">
      <w:start w:val="1"/>
      <w:lvlText w:val="%7."/>
      <w:lvlJc w:val="left"/>
      <w:pPr>
        <w:ind w:left="5040" w:hanging="360"/>
      </w:pPr>
    </w:lvl>
    <w:lvl w:ilvl="7">
      <w:start w:val="1"/>
      <w:lvlText w:val="%8."/>
      <w:lvlJc w:val="left"/>
      <w:pPr>
        <w:ind w:left="5760" w:hanging="360"/>
      </w:pPr>
    </w:lvl>
    <w:lvl w:ilvl="8">
      <w:start w:val="1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</w:num>
  <w:num w:numId="6">
    <w:abstractNumId w:val="5"/>
  </w:num>
  <w:num w:numId="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360"/>
  <w:drawingGridVerticalSpacing w:val="360"/>
  <w:displayHorizontalDrawingGridEvery w:val="1"/>
  <w:displayVerticalDrawingGridEvery w:val="1"/>
  <w:characterSpacingControl w:val="doNotCompress"/>
  <w:savePreviewPicture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Bidi"/>
        <w:sz w:val="24"/>
        <w:szCs w:val="24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customStyle="1" w:styleId="Normal">
    <w:name w:val="Normal"/>
    <w:qFormat/>
  </w:style>
  <w:style w:type="paragraph" w:customStyle="1" w:styleId="BodyText">
    <w:name w:val="Body Text"/>
    <w:basedOn w:val="Normal"/>
    <w:link w:val="BodyTextChar"/>
    <w:qFormat/>
    <w:pPr>
      <w:spacing w:after="180" w:before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after="36" w:before="36"/>
    </w:pPr>
  </w:style>
  <w:style w:type="paragraph" w:customStyle="1" w:styleId="Title">
    <w:name w:val="Title"/>
    <w:uiPriority w:val="10"/>
    <w:basedOn w:val="Normal"/>
    <w:next w:val="BodyText"/>
    <w:link w:val="TitleChar"/>
    <w:qFormat/>
    <w:pPr>
      <w:contextualSpacing/>
      <w:jc w:val="center"/>
      <w:spacing w:after="80" w:line="240" w:lineRule="auto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EastAsia" w:hAnsiTheme="majorHAnsi" w:cstheme="majorBidi"/>
      <w:sz w:val="56"/>
      <w:szCs w:val="56"/>
    </w:rPr>
  </w:style>
  <w:style w:type="paragraph" w:customStyle="1" w:styleId="Subtitle">
    <w:name w:val="Subtitle"/>
    <w:uiPriority w:val="11"/>
    <w:basedOn w:val="Title"/>
    <w:next w:val="BodyText"/>
    <w:link w:val="SubtitleChar"/>
    <w:qFormat/>
    <w:pPr>
      <w:numPr>
        <w:ilvl w:val="1"/>
      </w:numPr>
    </w:pPr>
    <w:rPr>
      <w:rFonts w:eastAsiaTheme="majorEastAsia" w:cstheme="majorBidi"/>
      <w:sz w:val="28"/>
      <w:szCs w:val="28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eastAsiaTheme="majorEastAsia" w:cstheme="majorBidi"/>
      <w:color w:val="595959"/>
      <w:sz w:val="28"/>
      <w:szCs w:val="28"/>
      <w:spacing w:val="15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Normal"/>
    <w:qFormat/>
    <w:pPr>
      <w:keepNext/>
      <w:keepLines/>
      <w:jc w:val="center"/>
      <w:spacing w:after="0" w:before="300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type="paragraph" w:customStyle="1" w:styleId="Bibliography">
    <w:name w:val="Bibliography"/>
    <w:basedOn w:val="Normal"/>
    <w:next w:val="Normal"/>
    <w:qFormat/>
    <w:pPr/>
    <w:rPr/>
  </w:style>
  <w:style w:type="paragraph" w:customStyle="1" w:styleId="Heading1">
    <w:name w:val="heading 1"/>
    <w:uiPriority w:val="9"/>
    <w:basedOn w:val="Normal"/>
    <w:next w:val="BodyText"/>
    <w:link w:val="Heading1Char"/>
    <w:qFormat/>
    <w:pPr>
      <w:keepNext/>
      <w:keepLines/>
      <w:outlineLvl w:val="0"/>
      <w:spacing w:after="80" w:before="360"/>
    </w:pPr>
    <w:rPr>
      <w:rFonts w:asciiTheme="majorHAnsi" w:eastAsiaTheme="majorEastAsia" w:hAnsiTheme="majorHAnsi" w:cstheme="majorBidi"/>
      <w:color w:val="104861"/>
      <w:sz w:val="40"/>
      <w:szCs w:val="40"/>
    </w:rPr>
  </w:style>
  <w:style w:type="paragraph" w:customStyle="1" w:styleId="Heading2">
    <w:name w:val="heading 2"/>
    <w:uiPriority w:val="9"/>
    <w:basedOn w:val="Normal"/>
    <w:next w:val="BodyText"/>
    <w:link w:val="Heading2Char"/>
    <w:qFormat/>
    <w:semiHidden/>
    <w:unhideWhenUsed/>
    <w:pPr>
      <w:keepNext/>
      <w:keepLines/>
      <w:outlineLvl w:val="1"/>
      <w:spacing w:after="80" w:before="160"/>
    </w:pPr>
    <w:rPr>
      <w:rFonts w:asciiTheme="majorHAnsi" w:eastAsiaTheme="majorEastAsia" w:hAnsiTheme="majorHAnsi" w:cstheme="majorBidi"/>
      <w:color w:val="104861"/>
      <w:sz w:val="32"/>
      <w:szCs w:val="32"/>
    </w:rPr>
  </w:style>
  <w:style w:type="paragraph" w:customStyle="1" w:styleId="Heading3">
    <w:name w:val="heading 3"/>
    <w:uiPriority w:val="9"/>
    <w:basedOn w:val="Normal"/>
    <w:next w:val="BodyText"/>
    <w:link w:val="Heading3Char"/>
    <w:qFormat/>
    <w:semiHidden/>
    <w:unhideWhenUsed/>
    <w:pPr>
      <w:keepNext/>
      <w:keepLines/>
      <w:outlineLvl w:val="2"/>
      <w:spacing w:after="80" w:before="160"/>
    </w:pPr>
    <w:rPr>
      <w:rFonts w:eastAsiaTheme="majorEastAsia" w:cstheme="majorBidi"/>
      <w:color w:val="104861"/>
      <w:sz w:val="28"/>
      <w:szCs w:val="28"/>
    </w:rPr>
  </w:style>
  <w:style w:type="paragraph" w:customStyle="1" w:styleId="Heading4">
    <w:name w:val="heading 4"/>
    <w:uiPriority w:val="9"/>
    <w:basedOn w:val="Normal"/>
    <w:next w:val="BodyText"/>
    <w:link w:val="Heading4Char"/>
    <w:qFormat/>
    <w:semiHidden/>
    <w:unhideWhenUsed/>
    <w:pPr>
      <w:keepNext/>
      <w:keepLines/>
      <w:outlineLvl w:val="3"/>
      <w:spacing w:after="40" w:before="80"/>
    </w:pPr>
    <w:rPr>
      <w:rFonts w:eastAsiaTheme="majorEastAsia" w:cstheme="majorBidi"/>
      <w:i/>
      <w:iCs/>
      <w:color w:val="104861"/>
    </w:rPr>
  </w:style>
  <w:style w:type="paragraph" w:customStyle="1" w:styleId="Heading5">
    <w:name w:val="heading 5"/>
    <w:uiPriority w:val="9"/>
    <w:basedOn w:val="Normal"/>
    <w:next w:val="BodyText"/>
    <w:link w:val="Heading5Char"/>
    <w:qFormat/>
    <w:semiHidden/>
    <w:unhideWhenUsed/>
    <w:pPr>
      <w:keepNext/>
      <w:keepLines/>
      <w:outlineLvl w:val="4"/>
      <w:spacing w:after="40" w:before="80"/>
    </w:pPr>
    <w:rPr>
      <w:rFonts w:eastAsiaTheme="majorEastAsia" w:cstheme="majorBidi"/>
      <w:color w:val="104861"/>
    </w:rPr>
  </w:style>
  <w:style w:type="paragraph" w:customStyle="1" w:styleId="Heading6">
    <w:name w:val="heading 6"/>
    <w:uiPriority w:val="9"/>
    <w:basedOn w:val="Normal"/>
    <w:next w:val="BodyText"/>
    <w:link w:val="Heading6Char"/>
    <w:qFormat/>
    <w:semiHidden/>
    <w:unhideWhenUsed/>
    <w:pPr>
      <w:keepNext/>
      <w:keepLines/>
      <w:outlineLvl w:val="5"/>
      <w:spacing w:after="0" w:before="40"/>
    </w:pPr>
    <w:rPr>
      <w:rFonts w:eastAsiaTheme="majorEastAsia" w:cstheme="majorBidi"/>
      <w:i/>
      <w:iCs/>
      <w:color w:val="595959"/>
    </w:rPr>
  </w:style>
  <w:style w:type="paragraph" w:customStyle="1" w:styleId="Heading7">
    <w:name w:val="heading 7"/>
    <w:uiPriority w:val="9"/>
    <w:basedOn w:val="Normal"/>
    <w:next w:val="BodyText"/>
    <w:link w:val="Heading7Char"/>
    <w:qFormat/>
    <w:semiHidden/>
    <w:unhideWhenUsed/>
    <w:pPr>
      <w:keepNext/>
      <w:keepLines/>
      <w:outlineLvl w:val="6"/>
      <w:spacing w:after="0" w:before="40"/>
    </w:pPr>
    <w:rPr>
      <w:rFonts w:eastAsiaTheme="majorEastAsia" w:cstheme="majorBidi"/>
      <w:color w:val="595959"/>
    </w:rPr>
  </w:style>
  <w:style w:type="paragraph" w:customStyle="1" w:styleId="Heading8">
    <w:name w:val="heading 8"/>
    <w:uiPriority w:val="9"/>
    <w:basedOn w:val="Normal"/>
    <w:next w:val="BodyText"/>
    <w:link w:val="Heading8Char"/>
    <w:qFormat/>
    <w:semiHidden/>
    <w:unhideWhenUsed/>
    <w:pPr>
      <w:keepNext/>
      <w:keepLines/>
      <w:outlineLvl w:val="7"/>
      <w:spacing w:after="0"/>
    </w:pPr>
    <w:rPr>
      <w:rFonts w:eastAsiaTheme="majorEastAsia" w:cstheme="majorBidi"/>
      <w:i/>
      <w:iCs/>
      <w:color w:val="262626"/>
    </w:rPr>
  </w:style>
  <w:style w:type="paragraph" w:customStyle="1" w:styleId="Heading9">
    <w:name w:val="heading 9"/>
    <w:uiPriority w:val="9"/>
    <w:basedOn w:val="Normal"/>
    <w:next w:val="BodyText"/>
    <w:link w:val="Heading9Char"/>
    <w:qFormat/>
    <w:semiHidden/>
    <w:unhideWhenUsed/>
    <w:pPr>
      <w:keepNext/>
      <w:keepLines/>
      <w:outlineLvl w:val="8"/>
      <w:spacing w:after="0"/>
    </w:pPr>
    <w:rPr>
      <w:rFonts w:eastAsiaTheme="majorEastAsia" w:cstheme="majorBidi"/>
      <w:color w:val="262626"/>
    </w:r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EastAsia" w:hAnsiTheme="majorHAnsi" w:cstheme="majorBidi"/>
      <w:color w:val="104861"/>
      <w:sz w:val="40"/>
      <w:szCs w:val="40"/>
    </w:rPr>
  </w:style>
  <w:style w:type="character" w:customStyle="1" w:styleId="Heading2Char">
    <w:name w:val="Heading 2 Char"/>
    <w:uiPriority w:val="9"/>
    <w:basedOn w:val="DefaultParagraphFont"/>
    <w:link w:val="Heading2"/>
    <w:semiHidden/>
    <w:rPr>
      <w:rFonts w:asciiTheme="majorHAnsi" w:eastAsiaTheme="majorEastAsia" w:hAnsiTheme="majorHAnsi" w:cstheme="majorBidi"/>
      <w:color w:val="104861"/>
      <w:sz w:val="32"/>
      <w:szCs w:val="32"/>
    </w:rPr>
  </w:style>
  <w:style w:type="character" w:customStyle="1" w:styleId="Heading3Char">
    <w:name w:val="Heading 3 Char"/>
    <w:uiPriority w:val="9"/>
    <w:basedOn w:val="DefaultParagraphFont"/>
    <w:link w:val="Heading3"/>
    <w:semiHidden/>
    <w:rPr>
      <w:rFonts w:eastAsiaTheme="majorEastAsia" w:cstheme="majorBidi"/>
      <w:color w:val="104861"/>
      <w:sz w:val="28"/>
      <w:szCs w:val="28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eastAsiaTheme="majorEastAsia" w:cstheme="majorBidi"/>
      <w:i/>
      <w:iCs/>
      <w:color w:val="104861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eastAsiaTheme="majorEastAsia" w:cstheme="majorBidi"/>
      <w:color w:val="1048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eastAsiaTheme="majorEastAsia" w:cstheme="majorBidi"/>
      <w:i/>
      <w:iCs/>
      <w:color w:val="595959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eastAsiaTheme="majorEastAsia" w:cstheme="majorBidi"/>
      <w:color w:val="595959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eastAsiaTheme="majorEastAsia" w:cstheme="majorBidi"/>
      <w:i/>
      <w:iCs/>
      <w:color w:val="262626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eastAsiaTheme="majorEastAsia" w:cstheme="majorBidi"/>
      <w:color w:val="262626"/>
    </w:rPr>
  </w:style>
  <w:style w:type="paragraph" w:customStyle="1" w:styleId="BlockText">
    <w:name w:val="Block Text"/>
    <w:uiPriority w:val="9"/>
    <w:basedOn w:val="BodyText"/>
    <w:next w:val="BodyText"/>
    <w:qFormat/>
    <w:unhideWhenUsed/>
    <w:pPr>
      <w:ind w:left="480" w:right="480" w:firstLine="0"/>
      <w:spacing w:after="100" w:before="100"/>
    </w:pPr>
  </w:style>
  <w:style w:type="paragraph" w:customStyle="1" w:styleId="FootnoteText">
    <w:name w:val="Footnote Text"/>
    <w:uiPriority w:val="9"/>
    <w:basedOn w:val="Normal"/>
    <w:next w:val="Normal"/>
    <w:qFormat/>
    <w:unhideWhenUsed/>
  </w:style>
  <w:style w:type="paragraph" w:customStyle="1" w:styleId="FootnoteBlockText">
    <w:name w:val="Footnote Block Text"/>
    <w:uiPriority w:val="9"/>
    <w:basedOn w:val="FootnoteText"/>
    <w:next w:val="FootnoteText"/>
    <w:qFormat/>
    <w:unhideWhenUsed/>
    <w:pPr>
      <w:ind w:left="480" w:right="480" w:firstLine="0"/>
      <w:spacing w:after="100" w:before="100"/>
    </w:pPr>
  </w:style>
  <w:style w:type="character" w:customStyle="1" w:styleId="DefaultParagraphFont">
    <w:name w:val="Default Paragraph Font"/>
    <w:semiHidden/>
    <w:unhideWhenUsed/>
  </w:style>
  <w:style w:type="table" w:customStyle="1" w:styleId="Table">
    <w:name w:val="Table"/>
    <w:qFormat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tblInd w:w="0" w:type="dxa"/>
        <w:jc w:val="left"/>
      </w:tblPr>
      <w:trPr>
        <w:jc w:val="left"/>
      </w:trPr>
      <w:tcPr>
        <w:tcBorders>
          <w:bottom w:val="none"/>
        </w:tcBorders>
        <w:vAlign w:val="both"/>
      </w:tcPr>
    </w:tblStylePr>
  </w:style>
  <w:style w:type="paragraph" w:customStyle="1" w:styleId="DefinitionTerm">
    <w:name w:val="Definition Term"/>
    <w:basedOn w:val="Normal"/>
    <w:next w:val="Normal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customStyle="1" w:styleId="Caption">
    <w:name w:val="Caption"/>
    <w:basedOn w:val="Normal"/>
    <w:link w:val="BodyTextChar"/>
    <w:pPr>
      <w:spacing w:after="120" w:before="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customStyle="1" w:styleId="FootnoteReference">
    <w:name w:val="Footnote Reference"/>
    <w:basedOn w:val="BodyTextChar"/>
    <w:rPr>
      <w:vertAlign w:val="superscript"/>
    </w:rPr>
  </w:style>
  <w:style w:type="character" w:customStyle="1" w:styleId="Hyperlink">
    <w:name w:val="Hyperlink"/>
    <w:basedOn w:val="BodyTextChar"/>
    <w:rPr>
      <w:color w:val="156082"/>
    </w:rPr>
  </w:style>
  <w:style w:type="paragraph" w:customStyle="1" w:styleId="TOCHeading">
    <w:name w:val="TOC Heading"/>
    <w:uiPriority w:val="39"/>
    <w:basedOn w:val="Heading1"/>
    <w:next w:val="BodyText"/>
    <w:qFormat/>
    <w:unhideWhenUsed/>
    <w:pPr>
      <w:outlineLvl w:val="9"/>
      <w:spacing w:before="240" w:line="259" w:lineRule="auto"/>
    </w:pPr>
    <w:rPr>
      <w:rFonts w:asciiTheme="majorHAnsi" w:eastAsiaTheme="majorEastAsia" w:hAnsiTheme="majorHAnsi" w:cstheme="majorBidi"/>
      <w:b w:val="0"/>
      <w:bCs w:val="0"/>
      <w:color w:val="104861"/>
    </w:rPr>
  </w:style>
  <w:style w:type="paragraph" w:customStyle="1" w:styleId="SourceCode">
    <w:name w:val="Source Code"/>
    <w:basedOn w:val="Normal"/>
    <w:link w:val="VerbatimChar"/>
    <w:pPr>
      <w:wordWrap w:val="off"/>
      <w:shd w:val="clear" w:color="auto" w:fill="F8F8F8"/>
    </w:pPr>
  </w:style>
  <w:style w:type="character" w:customStyle="1" w:styleId="KeywordTok">
    <w:name w:val="KeywordTok"/>
    <w:basedOn w:val="VerbatimChar"/>
    <w:rPr>
      <w:b/>
      <w:color w:val="204A87"/>
      <w:shd w:val="clear" w:color="auto" w:fill="F8F8F8"/>
    </w:rPr>
  </w:style>
  <w:style w:type="character" w:customStyle="1" w:styleId="DataTypeTok">
    <w:name w:val="DataTypeTok"/>
    <w:basedOn w:val="VerbatimChar"/>
    <w:rPr>
      <w:color w:val="204A87"/>
      <w:shd w:val="clear" w:color="auto" w:fill="F8F8F8"/>
    </w:rPr>
  </w:style>
  <w:style w:type="character" w:customStyle="1" w:styleId="DecValTok">
    <w:name w:val="DecValTok"/>
    <w:basedOn w:val="VerbatimChar"/>
    <w:rPr>
      <w:color w:val="0000CF"/>
      <w:shd w:val="clear" w:color="auto" w:fill="F8F8F8"/>
    </w:rPr>
  </w:style>
  <w:style w:type="character" w:customStyle="1" w:styleId="BaseNTok">
    <w:name w:val="BaseNTok"/>
    <w:basedOn w:val="VerbatimChar"/>
    <w:rPr>
      <w:color w:val="0000CF"/>
      <w:shd w:val="clear" w:color="auto" w:fill="F8F8F8"/>
    </w:rPr>
  </w:style>
  <w:style w:type="character" w:customStyle="1" w:styleId="FloatTok">
    <w:name w:val="FloatTok"/>
    <w:basedOn w:val="VerbatimChar"/>
    <w:rPr>
      <w:color w:val="0000CF"/>
      <w:shd w:val="clear" w:color="auto" w:fill="F8F8F8"/>
    </w:rPr>
  </w:style>
  <w:style w:type="character" w:customStyle="1" w:styleId="ConstantTok">
    <w:name w:val="ConstantTok"/>
    <w:basedOn w:val="VerbatimChar"/>
    <w:rPr>
      <w:color w:val="8F5902"/>
      <w:shd w:val="clear" w:color="auto" w:fill="F8F8F8"/>
    </w:rPr>
  </w:style>
  <w:style w:type="character" w:customStyle="1" w:styleId="CharTok">
    <w:name w:val="CharTok"/>
    <w:basedOn w:val="VerbatimChar"/>
    <w:rPr>
      <w:color w:val="4E9A06"/>
      <w:shd w:val="clear" w:color="auto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color="auto" w:fill="F8F8F8"/>
    </w:rPr>
  </w:style>
  <w:style w:type="character" w:customStyle="1" w:styleId="StringTok">
    <w:name w:val="StringTok"/>
    <w:basedOn w:val="VerbatimChar"/>
    <w:rPr>
      <w:color w:val="4E9A06"/>
      <w:shd w:val="clear" w:color="auto" w:fill="F8F8F8"/>
    </w:rPr>
  </w:style>
  <w:style w:type="character" w:customStyle="1" w:styleId="VerbatimStringTok">
    <w:name w:val="VerbatimStringTok"/>
    <w:basedOn w:val="VerbatimChar"/>
    <w:rPr>
      <w:color w:val="4E9A06"/>
      <w:shd w:val="clear" w:color="auto" w:fill="F8F8F8"/>
    </w:rPr>
  </w:style>
  <w:style w:type="character" w:customStyle="1" w:styleId="SpecialStringTok">
    <w:name w:val="SpecialStringTok"/>
    <w:basedOn w:val="VerbatimChar"/>
    <w:rPr>
      <w:color w:val="4E9A06"/>
      <w:shd w:val="clear" w:color="auto" w:fill="F8F8F8"/>
    </w:rPr>
  </w:style>
  <w:style w:type="character" w:customStyle="1" w:styleId="ImportTok">
    <w:name w:val="ImportTok"/>
    <w:basedOn w:val="VerbatimChar"/>
    <w:rPr>
      <w:shd w:val="clear" w:color="auto" w:fill="F8F8F8"/>
    </w:rPr>
  </w:style>
  <w:style w:type="character" w:customStyle="1" w:styleId="CommentTok">
    <w:name w:val="CommentTok"/>
    <w:basedOn w:val="VerbatimChar"/>
    <w:rPr>
      <w:i/>
      <w:color w:val="8F5902"/>
      <w:shd w:val="clear" w:color="auto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color="auto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color="auto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color="auto" w:fill="F8F8F8"/>
    </w:rPr>
  </w:style>
  <w:style w:type="character" w:customStyle="1" w:styleId="OtherTok">
    <w:name w:val="OtherTok"/>
    <w:basedOn w:val="VerbatimChar"/>
    <w:rPr>
      <w:color w:val="8F5902"/>
      <w:shd w:val="clear" w:color="auto" w:fill="F8F8F8"/>
    </w:rPr>
  </w:style>
  <w:style w:type="character" w:customStyle="1" w:styleId="FunctionTok">
    <w:name w:val="FunctionTok"/>
    <w:basedOn w:val="VerbatimChar"/>
    <w:rPr>
      <w:b/>
      <w:color w:val="204A87"/>
      <w:shd w:val="clear" w:color="auto" w:fill="F8F8F8"/>
    </w:rPr>
  </w:style>
  <w:style w:type="character" w:customStyle="1" w:styleId="VariableTok">
    <w:name w:val="VariableTok"/>
    <w:basedOn w:val="VerbatimChar"/>
    <w:rPr>
      <w:color w:val="000000"/>
      <w:shd w:val="clear" w:color="auto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color="auto" w:fill="F8F8F8"/>
    </w:rPr>
  </w:style>
  <w:style w:type="character" w:customStyle="1" w:styleId="OperatorTok">
    <w:name w:val="OperatorTok"/>
    <w:basedOn w:val="VerbatimChar"/>
    <w:rPr>
      <w:b/>
      <w:color w:val="CE5C00"/>
      <w:shd w:val="clear" w:color="auto" w:fill="F8F8F8"/>
    </w:rPr>
  </w:style>
  <w:style w:type="character" w:customStyle="1" w:styleId="BuiltInTok">
    <w:name w:val="BuiltInTok"/>
    <w:basedOn w:val="VerbatimChar"/>
    <w:rPr>
      <w:shd w:val="clear" w:color="auto" w:fill="F8F8F8"/>
    </w:rPr>
  </w:style>
  <w:style w:type="character" w:customStyle="1" w:styleId="ExtensionTok">
    <w:name w:val="ExtensionTok"/>
    <w:basedOn w:val="VerbatimChar"/>
    <w:rPr>
      <w:shd w:val="clear" w:color="auto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color="auto" w:fill="F8F8F8"/>
    </w:rPr>
  </w:style>
  <w:style w:type="character" w:customStyle="1" w:styleId="AttributeTok">
    <w:name w:val="AttributeTok"/>
    <w:basedOn w:val="VerbatimChar"/>
    <w:rPr>
      <w:color w:val="204A87"/>
      <w:shd w:val="clear" w:color="auto" w:fill="F8F8F8"/>
    </w:rPr>
  </w:style>
  <w:style w:type="character" w:customStyle="1" w:styleId="RegionMarkerTok">
    <w:name w:val="RegionMarkerTok"/>
    <w:basedOn w:val="VerbatimChar"/>
    <w:rPr>
      <w:shd w:val="clear" w:color="auto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color="auto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color="auto" w:fill="F8F8F8"/>
    </w:rPr>
  </w:style>
  <w:style w:type="character" w:customStyle="1" w:styleId="AlertTok">
    <w:name w:val="AlertTok"/>
    <w:basedOn w:val="VerbatimChar"/>
    <w:rPr>
      <w:color w:val="EF2929"/>
      <w:shd w:val="clear" w:color="auto" w:fill="F8F8F8"/>
    </w:rPr>
  </w:style>
  <w:style w:type="character" w:customStyle="1" w:styleId="ErrorTok">
    <w:name w:val="ErrorTok"/>
    <w:basedOn w:val="VerbatimChar"/>
    <w:rPr>
      <w:b/>
      <w:color w:val="A40000"/>
      <w:shd w:val="clear" w:color="auto" w:fill="F8F8F8"/>
    </w:rPr>
  </w:style>
  <w:style w:type="character" w:customStyle="1" w:styleId="NormalTok">
    <w:name w:val="NormalTok"/>
    <w:basedOn w:val="VerbatimChar"/>
    <w:rPr>
      <w:shd w:val="clear" w:color="auto" w:fill="F8F8F8"/>
    </w:rPr>
  </w:style>
  <w:style w:type="table" w:customStyle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image" Target="media/image1.png" /><Relationship Id="rId3" Type="http://schemas.openxmlformats.org/officeDocument/2006/relationships/image" Target="media/image2.png" /><Relationship Id="rId4" Type="http://schemas.openxmlformats.org/officeDocument/2006/relationships/image" Target="media/image3.png" /><Relationship Id="rId5" Type="http://schemas.openxmlformats.org/officeDocument/2006/relationships/image" Target="media/image4.png" /><Relationship Id="rId6" Type="http://schemas.openxmlformats.org/officeDocument/2006/relationships/image" Target="media/image5.png" /><Relationship Id="rId1" Type="http://schemas.openxmlformats.org/officeDocument/2006/relationships/image" Target="media/image6.png" /><Relationship Id="rId7" Type="http://schemas.openxmlformats.org/officeDocument/2006/relationships/styles" Target="styles.xml" /><Relationship Id="rId8" Type="http://schemas.openxmlformats.org/officeDocument/2006/relationships/settings" Target="settings.xml" /><Relationship Id="rId9" Type="http://schemas.openxmlformats.org/officeDocument/2006/relationships/fontTable" Target="fontTable.xml" /><Relationship Id="rId10" Type="http://schemas.openxmlformats.org/officeDocument/2006/relationships/webSettings" Target="webSettings.xml" /><Relationship Id="rId11" Type="http://schemas.openxmlformats.org/officeDocument/2006/relationships/numbering" Target="numbering.xml" /><Relationship Id="rId12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Nys94</dc:creator>
  <cp:keywords/>
  <dc:description/>
  <cp:lastModifiedBy>Nys94</cp:lastModifiedBy>
  <cp:revision>1</cp:revision>
  <dcterms:created xsi:type="dcterms:W3CDTF">2026-06-18T08:04:57Z</dcterms:created>
  <dcterms:modified xsi:type="dcterms:W3CDTF">2026-06-18T08:06:15Z</dcterms:modified>
  <cp:version>1200.0100.01</cp:version>
</cp:coreProperties>
</file>