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b/>
          <w:i w:val="0"/>
          <w:color w:val="1F4E79"/>
          <w:sz w:val="44"/>
          <w:rFonts w:ascii="맑은 고딕" w:hAnsi="맑은 고딕" w:eastAsia="맑은 고딕"/>
        </w:rPr>
        <w:t>지역별 공공도서관 사서 확보율 및 다차원적 업무 부하 분석 보고서 (2015~2024)</w:t>
      </w:r>
    </w:p>
    <w:p>
      <w:pPr>
        <w:keepNext/>
        <w:spacing w:before="280" w:after="120"/>
      </w:pPr>
      <w:r>
        <w:rPr>
          <w:b/>
          <w:i w:val="0"/>
          <w:color w:val="2F5597"/>
          <w:sz w:val="30"/>
          <w:rFonts w:ascii="맑은 고딕" w:hAnsi="맑은 고딕" w:eastAsia="맑은 고딕"/>
        </w:rPr>
        <w:t>1. 분석 개요 및 주제 선정 배경</w:t>
      </w:r>
    </w:p>
    <w:p>
      <w:pPr>
        <w:keepNext/>
        <w:spacing w:before="280" w:after="120"/>
      </w:pPr>
      <w:r>
        <w:rPr>
          <w:b/>
          <w:i w:val="0"/>
          <w:color w:val="5B9BD5"/>
          <w:sz w:val="24"/>
          <w:rFonts w:ascii="맑은 고딕" w:hAnsi="맑은 고딕" w:eastAsia="맑은 고딕"/>
        </w:rPr>
        <w:t>1.1. 분석 주제</w:t>
      </w:r>
    </w:p>
    <w:p>
      <w:pPr>
        <w:pStyle w:val="ListBullet"/>
        <w:spacing w:before="0" w:after="80" w:line="276" w:lineRule="auto"/>
      </w:pPr>
      <w:r>
        <w:rPr>
          <w:b w:val="0"/>
          <w:i w:val="0"/>
          <w:sz w:val="20"/>
          <w:rFonts w:ascii="맑은 고딕" w:hAnsi="맑은 고딕" w:eastAsia="맑은 고딕"/>
        </w:rPr>
        <w:t>지역별 공공도서관 사서 확보율 및 사서 1인당 업무 부하의 다차원적 시계열 분석 (2015~2024)</w:t>
      </w:r>
    </w:p>
    <w:p>
      <w:pPr>
        <w:keepNext/>
        <w:spacing w:before="280" w:after="120"/>
      </w:pPr>
      <w:r>
        <w:rPr>
          <w:b/>
          <w:i w:val="0"/>
          <w:color w:val="5B9BD5"/>
          <w:sz w:val="24"/>
          <w:rFonts w:ascii="맑은 고딕" w:hAnsi="맑은 고딕" w:eastAsia="맑은 고딕"/>
        </w:rPr>
        <w:t>1.2. 주제 선정 이유 및 의의</w:t>
      </w:r>
    </w:p>
    <w:p>
      <w:pPr>
        <w:pStyle w:val="ListBullet"/>
        <w:spacing w:before="0" w:after="80" w:line="276" w:lineRule="auto"/>
      </w:pPr>
      <w:r>
        <w:rPr>
          <w:b w:val="0"/>
          <w:i w:val="0"/>
          <w:sz w:val="20"/>
          <w:rFonts w:ascii="맑은 고딕" w:hAnsi="맑은 고딕" w:eastAsia="맑은 고딕"/>
        </w:rPr>
        <w:t>도서관 패러다임의 변화</w:t>
      </w:r>
      <w:r>
        <w:rPr>
          <w:b/>
          <w:i w:val="0"/>
          <w:sz w:val="20"/>
          <w:rFonts w:ascii="맑은 고딕" w:hAnsi="맑은 고딕" w:eastAsia="맑은 고딕"/>
        </w:rPr>
        <w:t>: 현대의 공공도서관은 도서 보관·대출 창구의 역할을 넘어 지역 공동체의 문화 거점이자 정보 복지를 구현하는 공공 공간으로 기능이 다변화되고 있습니다.</w:t>
      </w:r>
    </w:p>
    <w:p>
      <w:pPr>
        <w:pStyle w:val="ListBullet"/>
        <w:spacing w:before="0" w:after="80" w:line="276" w:lineRule="auto"/>
      </w:pPr>
      <w:r>
        <w:rPr>
          <w:b w:val="0"/>
          <w:i w:val="0"/>
          <w:sz w:val="20"/>
          <w:rFonts w:ascii="맑은 고딕" w:hAnsi="맑은 고딕" w:eastAsia="맑은 고딕"/>
        </w:rPr>
        <w:t>전문 인력의 필요성</w:t>
      </w:r>
      <w:r>
        <w:rPr>
          <w:b/>
          <w:i w:val="0"/>
          <w:sz w:val="20"/>
          <w:rFonts w:ascii="맑은 고딕" w:hAnsi="맑은 고딕" w:eastAsia="맑은 고딕"/>
        </w:rPr>
        <w:t>: 이러한 다채로운 공공 서비스를 원활하게 수행하기 위해서는 장서 기획, 프로그램 설계, 정보 서비스 안내 등을 전담할 전문 자격을 갖춘 사서 인력의 배치가 필수적입니다.</w:t>
      </w:r>
    </w:p>
    <w:p>
      <w:pPr>
        <w:pStyle w:val="ListBullet"/>
        <w:spacing w:before="0" w:after="80" w:line="276" w:lineRule="auto"/>
      </w:pPr>
      <w:r>
        <w:rPr>
          <w:b w:val="0"/>
          <w:i w:val="0"/>
          <w:sz w:val="20"/>
          <w:rFonts w:ascii="맑은 고딕" w:hAnsi="맑은 고딕" w:eastAsia="맑은 고딕"/>
        </w:rPr>
        <w:t>불균형 실태 진단</w:t>
      </w:r>
      <w:r>
        <w:rPr>
          <w:b/>
          <w:i w:val="0"/>
          <w:sz w:val="20"/>
          <w:rFonts w:ascii="맑은 고딕" w:hAnsi="맑은 고딕" w:eastAsia="맑은 고딕"/>
        </w:rPr>
        <w:t>: 각 지자체의 재정 여건과 정책적 기조 차이에 따라 사서 확보율 수준과 현장 사서들이 담당하는 실질적인 업무 로드가 지역별로 상이하게 나타나고 있습니다.</w:t>
      </w:r>
    </w:p>
    <w:p>
      <w:pPr>
        <w:pStyle w:val="ListBullet"/>
        <w:spacing w:before="0" w:after="80" w:line="276" w:lineRule="auto"/>
      </w:pPr>
      <w:r>
        <w:rPr>
          <w:b w:val="0"/>
          <w:i w:val="0"/>
          <w:sz w:val="20"/>
          <w:rFonts w:ascii="맑은 고딕" w:hAnsi="맑은 고딕" w:eastAsia="맑은 고딕"/>
        </w:rPr>
        <w:t>예비 사서로서의 분석 의의</w:t>
      </w:r>
      <w:r>
        <w:rPr>
          <w:b/>
          <w:i w:val="0"/>
          <w:sz w:val="20"/>
          <w:rFonts w:ascii="맑은 고딕" w:hAnsi="맑은 고딕" w:eastAsia="맑은 고딕"/>
        </w:rPr>
        <w:t xml:space="preserve">: 본 보고서는 </w:t>
      </w:r>
      <w:r>
        <w:rPr>
          <w:b w:val="0"/>
          <w:i w:val="0"/>
          <w:sz w:val="20"/>
          <w:rFonts w:ascii="맑은 고딕" w:hAnsi="맑은 고딕" w:eastAsia="맑은 고딕"/>
        </w:rPr>
        <w:t>문헌정보학을 전공하는 예비 사서의 관점</w:t>
      </w:r>
      <w:r>
        <w:rPr>
          <w:b/>
          <w:i w:val="0"/>
          <w:sz w:val="20"/>
          <w:rFonts w:ascii="맑은 고딕" w:hAnsi="맑은 고딕" w:eastAsia="맑은 고딕"/>
        </w:rPr>
        <w:t>에서 공공도서관 현장의 사서 확보율과 업무 부하 실태를 데이터 기반으로 분석하였습니다. 향후 마주하게 될 현업의 실질적 문제를 정량적으로 규명하고, 예비 전문인으로서 도서관 인력 정책의 발전 방향에 대한 문제의식을 투영했다는 점에서 학문적·실천적 의의를 지닙니다.</w:t>
      </w:r>
    </w:p>
    <w:p>
      <w:pPr>
        <w:pStyle w:val="ListBullet"/>
        <w:spacing w:before="0" w:after="80" w:line="276" w:lineRule="auto"/>
      </w:pPr>
      <w:r>
        <w:rPr>
          <w:b w:val="0"/>
          <w:i w:val="0"/>
          <w:sz w:val="20"/>
          <w:rFonts w:ascii="맑은 고딕" w:hAnsi="맑은 고딕" w:eastAsia="맑은 고딕"/>
        </w:rPr>
        <w:t>분석 목적</w:t>
      </w:r>
      <w:r>
        <w:rPr>
          <w:b/>
          <w:i w:val="0"/>
          <w:sz w:val="20"/>
          <w:rFonts w:ascii="맑은 고딕" w:hAnsi="맑은 고딕" w:eastAsia="맑은 고딕"/>
        </w:rPr>
        <w:t>: 본 보고서는 지난 10년간의 시계열 데이터(2015~2024년)를 바탕으로, 지자체별 사서 배치 실태를 종합 진단하고 예산 집행 규모, 이용자 활성화율, 실제 직무량(도서 및 대출 수), 사서 1인당 담당 인구 등 다차원적 지표를 결합해 전국 공공도서관의 인력 효율성 및 서비스 격차를 분석하고자 합니다.</w:t>
      </w:r>
    </w:p>
    <w:p>
      <w:pPr>
        <w:keepNext/>
        <w:spacing w:before="280" w:after="120"/>
      </w:pPr>
      <w:r>
        <w:rPr>
          <w:b/>
          <w:i w:val="0"/>
          <w:color w:val="2F5597"/>
          <w:sz w:val="30"/>
          <w:rFonts w:ascii="맑은 고딕" w:hAnsi="맑은 고딕" w:eastAsia="맑은 고딕"/>
        </w:rPr>
        <w:t>2. 전국 도서관 및 사서 인력 현황 추이 (10개년)</w:t>
      </w:r>
    </w:p>
    <w:p>
      <w:pPr>
        <w:spacing w:before="0" w:after="120" w:line="276" w:lineRule="auto"/>
      </w:pPr>
      <w:r>
        <w:rPr>
          <w:b w:val="0"/>
          <w:i w:val="0"/>
          <w:sz w:val="20"/>
          <w:rFonts w:ascii="맑은 고딕" w:hAnsi="맑은 고딕" w:eastAsia="맑은 고딕"/>
        </w:rPr>
        <w:t>대한민국 공공도서관 인프라의 확장과 더불어, 도서관의 전문성을 담당하는 사서 인력은 양과 질 모든 측면에서 지속적으로 증가해 왔습니다.</w:t>
      </w:r>
    </w:p>
    <w:p>
      <w:pPr>
        <w:keepNext/>
        <w:spacing w:before="280" w:after="120"/>
      </w:pPr>
      <w:r>
        <w:rPr>
          <w:b/>
          <w:i w:val="0"/>
          <w:color w:val="5B9BD5"/>
          <w:sz w:val="24"/>
          <w:rFonts w:ascii="맑은 고딕" w:hAnsi="맑은 고딕" w:eastAsia="맑은 고딕"/>
        </w:rPr>
        <w:t>전국 도서관 수 및 사서 확보율 성장 추이</w:t>
      </w:r>
    </w:p>
    <w:p>
      <w:pPr>
        <w:jc w:val="center"/>
      </w:pPr>
      <w:r>
        <w:drawing>
          <wp:inline xmlns:a="http://schemas.openxmlformats.org/drawingml/2006/main" xmlns:pic="http://schemas.openxmlformats.org/drawingml/2006/picture">
            <wp:extent cx="5303520" cy="2608642"/>
            <wp:docPr id="1" name="Picture 1"/>
            <wp:cNvGraphicFramePr>
              <a:graphicFrameLocks noChangeAspect="1"/>
            </wp:cNvGraphicFramePr>
            <a:graphic>
              <a:graphicData uri="http://schemas.openxmlformats.org/drawingml/2006/picture">
                <pic:pic>
                  <pic:nvPicPr>
                    <pic:cNvPr id="0" name="national_trend.png"/>
                    <pic:cNvPicPr/>
                  </pic:nvPicPr>
                  <pic:blipFill>
                    <a:blip r:embed="rId10"/>
                    <a:stretch>
                      <a:fillRect/>
                    </a:stretch>
                  </pic:blipFill>
                  <pic:spPr>
                    <a:xfrm>
                      <a:off x="0" y="0"/>
                      <a:ext cx="5303520" cy="2608642"/>
                    </a:xfrm>
                    <a:prstGeom prst="rect"/>
                  </pic:spPr>
                </pic:pic>
              </a:graphicData>
            </a:graphic>
          </wp:inline>
        </w:drawing>
      </w:r>
    </w:p>
    <w:p>
      <w:pPr>
        <w:spacing w:after="240"/>
        <w:jc w:val="center"/>
      </w:pPr>
      <w:r>
        <w:rPr>
          <w:b w:val="0"/>
          <w:i/>
          <w:sz w:val="19"/>
          <w:rFonts w:ascii="맑은 고딕" w:hAnsi="맑은 고딕" w:eastAsia="맑은 고딕"/>
        </w:rPr>
        <w:t>그림. 전국 공공도서관 사서 확보율 및 1관당 평균 사서 수 추이 (2015~2024)</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rPr>
          <w:cantSplit/>
          <w:tblHeader/>
        </w:trPr>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연도</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도서관 수 (관)</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전체 직원 수 (명)</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자격증 보유자 (명)</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확보율 (%)</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1관당 평균 사서 수 (명)</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2015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978</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14,411</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5,370</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37.26%</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5.5</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2016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1,010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15,192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5,710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37.59%</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5.7</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2017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1,042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15,557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6,035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38.79%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5.8</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2018</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1,096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16,576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6,601</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39.82%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2019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1,134</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17,557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6,998</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39.86%</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6.2</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2020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1,172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17,634</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7,565</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42.90%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6.5</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2021</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1,208</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18,109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7,636</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42.17%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6.3</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2022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1,236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18,460.5</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7,935</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42.98%</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6.4</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2023</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1,271</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19,026</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8,274</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43.49%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6.5</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2024</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1,296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19,593</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8,768</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44.75%</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6.8</w:t>
            </w:r>
          </w:p>
        </w:tc>
      </w:tr>
    </w:tbl>
    <w:p/>
    <w:tbl>
      <w:tblPr>
        <w:tblW w:type="auto" w:w="0"/>
        <w:jc w:val="center"/>
        <w:tblLook w:firstColumn="1" w:firstRow="1" w:lastColumn="0" w:lastRow="0" w:noHBand="0" w:noVBand="1" w:val="04A0"/>
      </w:tblPr>
      <w:tblGrid>
        <w:gridCol w:w="9360"/>
      </w:tblGrid>
      <w:tr>
        <w:tc>
          <w:tcPr>
            <w:tcW w:type="dxa" w:w="9360"/>
            <w:shd w:fill="F2FAF2"/>
            <w:tcBorders>
              <w:top w:val="none"/>
              <w:left w:val="single" w:sz="36" w:space="0" w:color="548235"/>
              <w:bottom w:val="none"/>
              <w:right w:val="none"/>
            </w:tcBorders>
            <w:tcMar>
              <w:top w:w="140" w:type="dxa"/>
              <w:bottom w:w="140" w:type="dxa"/>
              <w:left w:w="180" w:type="dxa"/>
              <w:right w:w="180" w:type="dxa"/>
            </w:tcMar>
          </w:tcPr>
          <w:p>
            <w:pPr>
              <w:spacing w:before="40" w:after="40" w:line="276" w:lineRule="auto"/>
              <w:ind w:left="360"/>
            </w:pPr>
            <w:r>
              <w:rPr>
                <w:b w:val="0"/>
                <w:i w:val="0"/>
                <w:color w:val="375623"/>
                <w:sz w:val="20"/>
                <w:rFonts w:ascii="맑은 고딕" w:hAnsi="맑은 고딕" w:eastAsia="맑은 고딕"/>
              </w:rPr>
              <w:t xml:space="preserve">•  </w:t>
            </w:r>
            <w:r>
              <w:rPr>
                <w:b w:val="0"/>
                <w:i w:val="0"/>
                <w:color w:val="375623"/>
                <w:sz w:val="20"/>
                <w:rFonts w:ascii="맑은 고딕" w:hAnsi="맑은 고딕" w:eastAsia="맑은 고딕"/>
              </w:rPr>
              <w:t>10개년 총 성장율</w:t>
            </w:r>
            <w:r>
              <w:rPr>
                <w:b/>
                <w:i w:val="0"/>
                <w:color w:val="375623"/>
                <w:sz w:val="20"/>
                <w:rFonts w:ascii="맑은 고딕" w:hAnsi="맑은 고딕" w:eastAsia="맑은 고딕"/>
              </w:rPr>
              <w:t>: 2015년 대비 2024년 도서관 수는 32.5% 증가, 전체 직원 수는 35.9% 증가하였으며, 사서 자격증 보유자는 63.3% 증가하여 전문 인력이 지속적으로 확충되었습니다.</w:t>
            </w:r>
          </w:p>
          <w:p>
            <w:pPr>
              <w:spacing w:before="40" w:after="40" w:line="276" w:lineRule="auto"/>
              <w:ind w:left="360"/>
            </w:pPr>
            <w:r>
              <w:rPr>
                <w:b w:val="0"/>
                <w:i w:val="0"/>
                <w:color w:val="375623"/>
                <w:sz w:val="20"/>
                <w:rFonts w:ascii="맑은 고딕" w:hAnsi="맑은 고딕" w:eastAsia="맑은 고딕"/>
              </w:rPr>
              <w:t xml:space="preserve">•  </w:t>
            </w:r>
            <w:r>
              <w:rPr>
                <w:b w:val="0"/>
                <w:i w:val="0"/>
                <w:color w:val="375623"/>
                <w:sz w:val="20"/>
                <w:rFonts w:ascii="맑은 고딕" w:hAnsi="맑은 고딕" w:eastAsia="맑은 고딕"/>
              </w:rPr>
              <w:t>인력 지표의 개선</w:t>
            </w:r>
            <w:r>
              <w:rPr>
                <w:b/>
                <w:i w:val="0"/>
                <w:color w:val="375623"/>
                <w:sz w:val="20"/>
                <w:rFonts w:ascii="맑은 고딕" w:hAnsi="맑은 고딕" w:eastAsia="맑은 고딕"/>
              </w:rPr>
              <w:t>: 2015년 37.26%였던 전국 평균 사서 확보율은 완만하게 상승하여 2024년 44.75%로 +7.49%p 개선되었습니다. 1관당 사서 배치도 5.5명에서 6.8명으로 증가했습니다.</w:t>
            </w:r>
          </w:p>
        </w:tc>
      </w:tr>
    </w:tbl>
    <w:p/>
    <w:p>
      <w:pPr>
        <w:keepNext/>
        <w:spacing w:before="280" w:after="120"/>
      </w:pPr>
      <w:r>
        <w:rPr>
          <w:b/>
          <w:i w:val="0"/>
          <w:color w:val="2F5597"/>
          <w:sz w:val="30"/>
          <w:rFonts w:ascii="맑은 고딕" w:hAnsi="맑은 고딕" w:eastAsia="맑은 고딕"/>
        </w:rPr>
        <w:t>3. 2024년 지역별 사서 확보율 현황 및 양극화 실태</w:t>
      </w:r>
    </w:p>
    <w:p>
      <w:pPr>
        <w:spacing w:before="0" w:after="120" w:line="276" w:lineRule="auto"/>
      </w:pPr>
      <w:r>
        <w:rPr>
          <w:b w:val="0"/>
          <w:i w:val="0"/>
          <w:sz w:val="20"/>
          <w:rFonts w:ascii="맑은 고딕" w:hAnsi="맑은 고딕" w:eastAsia="맑은 고딕"/>
        </w:rPr>
        <w:t>2024년 기준 전국 17개 시도별 사서 확보율 현황 및 사서 1명당 실제 주민등록인구 담당 수준을 결합한 지표입니다.</w:t>
      </w:r>
    </w:p>
    <w:p>
      <w:pPr>
        <w:keepNext/>
        <w:spacing w:before="280" w:after="120"/>
      </w:pPr>
      <w:r>
        <w:rPr>
          <w:b/>
          <w:i w:val="0"/>
          <w:color w:val="5B9BD5"/>
          <w:sz w:val="24"/>
          <w:rFonts w:ascii="맑은 고딕" w:hAnsi="맑은 고딕" w:eastAsia="맑은 고딕"/>
        </w:rPr>
        <w:t>사서 확보율 현황 (2024년)</w:t>
      </w:r>
    </w:p>
    <w:p>
      <w:pPr>
        <w:jc w:val="center"/>
      </w:pPr>
      <w:r>
        <w:drawing>
          <wp:inline xmlns:a="http://schemas.openxmlformats.org/drawingml/2006/main" xmlns:pic="http://schemas.openxmlformats.org/drawingml/2006/picture">
            <wp:extent cx="5303520" cy="2615925"/>
            <wp:docPr id="2" name="Picture 2"/>
            <wp:cNvGraphicFramePr>
              <a:graphicFrameLocks noChangeAspect="1"/>
            </wp:cNvGraphicFramePr>
            <a:graphic>
              <a:graphicData uri="http://schemas.openxmlformats.org/drawingml/2006/picture">
                <pic:pic>
                  <pic:nvPicPr>
                    <pic:cNvPr id="0" name="region_comparison_2024.png"/>
                    <pic:cNvPicPr/>
                  </pic:nvPicPr>
                  <pic:blipFill>
                    <a:blip r:embed="rId11"/>
                    <a:stretch>
                      <a:fillRect/>
                    </a:stretch>
                  </pic:blipFill>
                  <pic:spPr>
                    <a:xfrm>
                      <a:off x="0" y="0"/>
                      <a:ext cx="5303520" cy="2615925"/>
                    </a:xfrm>
                    <a:prstGeom prst="rect"/>
                  </pic:spPr>
                </pic:pic>
              </a:graphicData>
            </a:graphic>
          </wp:inline>
        </w:drawing>
      </w:r>
    </w:p>
    <w:p>
      <w:pPr>
        <w:spacing w:after="240"/>
        <w:jc w:val="center"/>
      </w:pPr>
      <w:r>
        <w:rPr>
          <w:b w:val="0"/>
          <w:i/>
          <w:sz w:val="19"/>
          <w:rFonts w:ascii="맑은 고딕" w:hAnsi="맑은 고딕" w:eastAsia="맑은 고딕"/>
        </w:rPr>
        <w:t>그림. 2024년 17개 시도별 도서관 사서 확보율 현황</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337"/>
        <w:gridCol w:w="1337"/>
        <w:gridCol w:w="1337"/>
        <w:gridCol w:w="1337"/>
        <w:gridCol w:w="1337"/>
        <w:gridCol w:w="1337"/>
        <w:gridCol w:w="1337"/>
      </w:tblGrid>
      <w:tr>
        <w:trPr>
          <w:cantSplit/>
          <w:tblHeader/>
        </w:trPr>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순위</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지역</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도서관 수 (관)</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전체 직원 수 (명)</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수 (명)</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확보율 (%)</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1명당 담당 인구</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세종</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16</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151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97</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64.24%</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4,027.7명</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서울</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212</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3,335.5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2,085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62.51%</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4,475.7명</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부산</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56</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921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559</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60.69%</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5,843.6명</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대구</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49</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617.5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372</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60.24%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6,353.8명</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경남</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79</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1,326</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617</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46.53%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5,232.4명</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대전</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26</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395.5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181</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45.76%</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7,951.1명</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제주</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22</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314.5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141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44.83%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4,754.4명</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8</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인천</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991.5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432</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43.57%</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6,993.1명</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울산</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337</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143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42.43%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7,678.7명</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10</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경북</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933</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372</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39.87%</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6,804.8명</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충남</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755.5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300</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39.71%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7,121.9명</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12</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경기</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323</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5,790</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2,168</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37.44%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6,316.7명</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강원</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69</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712.5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265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37.19%</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5,727.4명</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광주</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30</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548.5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195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35.55%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7,222.7명</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충북</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56</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665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233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35.04%</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6,829.1명</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16</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전북</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67</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853</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297</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34.82%</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5,854.2명</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17</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전남</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77</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946</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311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32.88%</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5,751.8명</w:t>
            </w:r>
          </w:p>
        </w:tc>
      </w:tr>
    </w:tbl>
    <w:p/>
    <w:tbl>
      <w:tblPr>
        <w:tblW w:type="auto" w:w="0"/>
        <w:jc w:val="center"/>
        <w:tblLook w:firstColumn="1" w:firstRow="1" w:lastColumn="0" w:lastRow="0" w:noHBand="0" w:noVBand="1" w:val="04A0"/>
      </w:tblPr>
      <w:tblGrid>
        <w:gridCol w:w="9360"/>
      </w:tblGrid>
      <w:tr>
        <w:tc>
          <w:tcPr>
            <w:tcW w:type="dxa" w:w="9360"/>
            <w:shd w:fill="F2F7FA"/>
            <w:tcBorders>
              <w:top w:val="none"/>
              <w:left w:val="single" w:sz="36" w:space="0" w:color="2F5597"/>
              <w:bottom w:val="none"/>
              <w:right w:val="none"/>
            </w:tcBorders>
            <w:tcMar>
              <w:top w:w="140" w:type="dxa"/>
              <w:bottom w:w="140" w:type="dxa"/>
              <w:left w:w="180" w:type="dxa"/>
              <w:right w:w="180" w:type="dxa"/>
            </w:tcMar>
          </w:tcPr>
          <w:p>
            <w:pPr>
              <w:spacing w:before="40" w:after="40" w:line="276" w:lineRule="auto"/>
              <w:ind w:left="360"/>
            </w:pPr>
            <w:r>
              <w:rPr>
                <w:b w:val="0"/>
                <w:i w:val="0"/>
                <w:color w:val="1F4E79"/>
                <w:sz w:val="20"/>
                <w:rFonts w:ascii="맑은 고딕" w:hAnsi="맑은 고딕" w:eastAsia="맑은 고딕"/>
              </w:rPr>
              <w:t xml:space="preserve">•  </w:t>
            </w:r>
            <w:r>
              <w:rPr>
                <w:b w:val="0"/>
                <w:i w:val="0"/>
                <w:color w:val="1F4E79"/>
                <w:sz w:val="20"/>
                <w:rFonts w:ascii="맑은 고딕" w:hAnsi="맑은 고딕" w:eastAsia="맑은 고딕"/>
              </w:rPr>
              <w:t>지표의 측정 기준 안내</w:t>
            </w:r>
            <w:r>
              <w:rPr>
                <w:b/>
                <w:i w:val="0"/>
                <w:color w:val="1F4E79"/>
                <w:sz w:val="20"/>
                <w:rFonts w:ascii="맑은 고딕" w:hAnsi="맑은 고딕" w:eastAsia="맑은 고딕"/>
              </w:rPr>
              <w:t>:</w:t>
            </w:r>
          </w:p>
          <w:p>
            <w:pPr>
              <w:spacing w:before="40" w:after="40" w:line="276" w:lineRule="auto"/>
              <w:ind w:left="360"/>
            </w:pPr>
            <w:r>
              <w:rPr>
                <w:b w:val="0"/>
                <w:i w:val="0"/>
                <w:color w:val="1F4E79"/>
                <w:sz w:val="20"/>
                <w:rFonts w:ascii="맑은 고딕" w:hAnsi="맑은 고딕" w:eastAsia="맑은 고딕"/>
              </w:rPr>
              <w:t xml:space="preserve">•  </w:t>
            </w:r>
            <w:r>
              <w:rPr>
                <w:b w:val="0"/>
                <w:i w:val="0"/>
                <w:color w:val="1F4E79"/>
                <w:sz w:val="20"/>
                <w:rFonts w:ascii="맑은 고딕" w:hAnsi="맑은 고딕" w:eastAsia="맑은 고딕"/>
              </w:rPr>
              <w:t>사서 1명당 담당 인구(명/사서)</w:t>
            </w:r>
            <w:r>
              <w:rPr>
                <w:b/>
                <w:i w:val="0"/>
                <w:color w:val="1F4E79"/>
                <w:sz w:val="20"/>
                <w:rFonts w:ascii="맑은 고딕" w:hAnsi="맑은 고딕" w:eastAsia="맑은 고딕"/>
              </w:rPr>
              <w:t>: 특정 연도 말 시점의 주민등록인구 수(행정안전부)를 해당 연도 사서 수로 나눈 수치로, 사서 1명이 잠재적으로 커버해야 하는 지역 사회의 배후 인구 규모를 나타내는 특정 시점 기준(Snapshot) 고정 지표입니다. (1년 단위로 누적되어 증가하는 지표가 아닙니다.)</w:t>
            </w:r>
          </w:p>
          <w:p>
            <w:pPr>
              <w:spacing w:before="40" w:after="40" w:line="276" w:lineRule="auto"/>
              <w:ind w:left="360"/>
            </w:pPr>
            <w:r>
              <w:rPr>
                <w:b w:val="0"/>
                <w:i w:val="0"/>
                <w:color w:val="1F4E79"/>
                <w:sz w:val="20"/>
                <w:rFonts w:ascii="맑은 고딕" w:hAnsi="맑은 고딕" w:eastAsia="맑은 고딕"/>
              </w:rPr>
              <w:t xml:space="preserve">•  </w:t>
            </w:r>
            <w:r>
              <w:rPr>
                <w:b w:val="0"/>
                <w:i w:val="0"/>
                <w:color w:val="1F4E79"/>
                <w:sz w:val="20"/>
                <w:rFonts w:ascii="맑은 고딕" w:hAnsi="맑은 고딕" w:eastAsia="맑은 고딕"/>
              </w:rPr>
              <w:t>사서 확보율 (%)</w:t>
            </w:r>
            <w:r>
              <w:rPr>
                <w:b/>
                <w:i w:val="0"/>
                <w:color w:val="1F4E79"/>
                <w:sz w:val="20"/>
                <w:rFonts w:ascii="맑은 고딕" w:hAnsi="맑은 고딕" w:eastAsia="맑은 고딕"/>
              </w:rPr>
              <w:t>: 해당 연도의 전체 도서관 직원 수(정규직+비정규직 포함, 지원 인력 제외) 대비 사서 자격증 보유자 수의 비율입니다.</w:t>
            </w:r>
          </w:p>
        </w:tc>
      </w:tr>
    </w:tbl>
    <w:p/>
    <w:tbl>
      <w:tblPr>
        <w:tblW w:type="auto" w:w="0"/>
        <w:jc w:val="center"/>
        <w:tblLook w:firstColumn="1" w:firstRow="1" w:lastColumn="0" w:lastRow="0" w:noHBand="0" w:noVBand="1" w:val="04A0"/>
      </w:tblPr>
      <w:tblGrid>
        <w:gridCol w:w="9360"/>
      </w:tblGrid>
      <w:tr>
        <w:tc>
          <w:tcPr>
            <w:tcW w:type="dxa" w:w="9360"/>
            <w:shd w:fill="FFF8F5"/>
            <w:tcBorders>
              <w:top w:val="none"/>
              <w:left w:val="single" w:sz="36" w:space="0" w:color="C65911"/>
              <w:bottom w:val="none"/>
              <w:right w:val="none"/>
            </w:tcBorders>
            <w:tcMar>
              <w:top w:w="140" w:type="dxa"/>
              <w:bottom w:w="140" w:type="dxa"/>
              <w:left w:w="180" w:type="dxa"/>
              <w:right w:w="180" w:type="dxa"/>
            </w:tcMar>
          </w:tcPr>
          <w:p>
            <w:pPr>
              <w:spacing w:before="40" w:after="40" w:line="276" w:lineRule="auto"/>
              <w:ind w:left="360"/>
            </w:pPr>
            <w:r>
              <w:rPr>
                <w:b w:val="0"/>
                <w:i w:val="0"/>
                <w:color w:val="833C0C"/>
                <w:sz w:val="20"/>
                <w:rFonts w:ascii="맑은 고딕" w:hAnsi="맑은 고딕" w:eastAsia="맑은 고딕"/>
              </w:rPr>
              <w:t xml:space="preserve">•  </w:t>
            </w:r>
            <w:r>
              <w:rPr>
                <w:b w:val="0"/>
                <w:i w:val="0"/>
                <w:color w:val="833C0C"/>
                <w:sz w:val="20"/>
                <w:rFonts w:ascii="맑은 고딕" w:hAnsi="맑은 고딕" w:eastAsia="맑은 고딕"/>
              </w:rPr>
              <w:t>도시와 도(道) 지역 간 격차</w:t>
            </w:r>
            <w:r>
              <w:rPr>
                <w:b/>
                <w:i w:val="0"/>
                <w:color w:val="833C0C"/>
                <w:sz w:val="20"/>
                <w:rFonts w:ascii="맑은 고딕" w:hAnsi="맑은 고딕" w:eastAsia="맑은 고딕"/>
              </w:rPr>
              <w:t>: 세종(64.24%), 서울(62.51%), 부산(60.69%) 등 광역 대도시 지역들은 확보율이 60%를 상회하는 반면, 전남(32.88%), 전북(34.82%), 충북(35.04%) 등 도 단위 지역들은 30%대 초중반에 머무르고 있어 상대적인 격차가 파악됩니다.</w:t>
            </w:r>
          </w:p>
          <w:p>
            <w:pPr>
              <w:spacing w:before="40" w:after="40" w:line="276" w:lineRule="auto"/>
              <w:ind w:left="360"/>
            </w:pPr>
            <w:r>
              <w:rPr>
                <w:b w:val="0"/>
                <w:i w:val="0"/>
                <w:color w:val="833C0C"/>
                <w:sz w:val="20"/>
                <w:rFonts w:ascii="맑은 고딕" w:hAnsi="맑은 고딕" w:eastAsia="맑은 고딕"/>
              </w:rPr>
              <w:t xml:space="preserve">•  </w:t>
            </w:r>
            <w:r>
              <w:rPr>
                <w:b w:val="0"/>
                <w:i w:val="0"/>
                <w:color w:val="833C0C"/>
                <w:sz w:val="20"/>
                <w:rFonts w:ascii="맑은 고딕" w:hAnsi="맑은 고딕" w:eastAsia="맑은 고딕"/>
              </w:rPr>
              <w:t>사서 1인당 담당 인구 격차</w:t>
            </w:r>
            <w:r>
              <w:rPr>
                <w:b/>
                <w:i w:val="0"/>
                <w:color w:val="833C0C"/>
                <w:sz w:val="20"/>
                <w:rFonts w:ascii="맑은 고딕" w:hAnsi="맑은 고딕" w:eastAsia="맑은 고딕"/>
              </w:rPr>
              <w:t>: 사서 확보율이 상대적으로 높은 세종(1인당 4,028명), 서울(1인당 4,476명) 등은 사서 1명이 담당하는 인구가 적어 상대적으로 정밀한 서비스 제공에 용이합니다. 반면, 확보율이 낮은 인천(1인당 6,993명), 경북(1인당 6,805명), 경기(1인당 6,317명) 등은 사서 1명이 6천 명 이상의 대상을 담당하고 있습니다.</w:t>
            </w:r>
          </w:p>
        </w:tc>
      </w:tr>
    </w:tbl>
    <w:p/>
    <w:p>
      <w:pPr>
        <w:keepNext/>
        <w:spacing w:before="280" w:after="120"/>
      </w:pPr>
      <w:r>
        <w:rPr>
          <w:b/>
          <w:i w:val="0"/>
          <w:color w:val="2F5597"/>
          <w:sz w:val="30"/>
          <w:rFonts w:ascii="맑은 고딕" w:hAnsi="맑은 고딕" w:eastAsia="맑은 고딕"/>
        </w:rPr>
        <w:t>4. 지자체별 사서 확보율 성장 궤적 (2015 vs 2024)</w:t>
      </w:r>
    </w:p>
    <w:p>
      <w:pPr>
        <w:spacing w:before="0" w:after="120" w:line="276" w:lineRule="auto"/>
      </w:pPr>
      <w:r>
        <w:rPr>
          <w:b w:val="0"/>
          <w:i w:val="0"/>
          <w:sz w:val="20"/>
          <w:rFonts w:ascii="맑은 고딕" w:hAnsi="맑은 고딕" w:eastAsia="맑은 고딕"/>
        </w:rPr>
        <w:t>10년의 장기 시계열로 분석한 결과, 각 지자체별 도서관 인력 정책의 변화 양상이 나타났습니다.</w:t>
      </w:r>
    </w:p>
    <w:p>
      <w:pPr>
        <w:keepNext/>
        <w:spacing w:before="280" w:after="120"/>
      </w:pPr>
      <w:r>
        <w:rPr>
          <w:b/>
          <w:i w:val="0"/>
          <w:color w:val="5B9BD5"/>
          <w:sz w:val="24"/>
          <w:rFonts w:ascii="맑은 고딕" w:hAnsi="맑은 고딕" w:eastAsia="맑은 고딕"/>
        </w:rPr>
        <w:t>10년간 확보율 증가폭 순위 (2015 vs 2024)</w:t>
      </w:r>
    </w:p>
    <w:p>
      <w:pPr>
        <w:jc w:val="center"/>
      </w:pPr>
      <w:r>
        <w:drawing>
          <wp:inline xmlns:a="http://schemas.openxmlformats.org/drawingml/2006/main" xmlns:pic="http://schemas.openxmlformats.org/drawingml/2006/picture">
            <wp:extent cx="5303520" cy="3696611"/>
            <wp:docPr id="3" name="Picture 3"/>
            <wp:cNvGraphicFramePr>
              <a:graphicFrameLocks noChangeAspect="1"/>
            </wp:cNvGraphicFramePr>
            <a:graphic>
              <a:graphicData uri="http://schemas.openxmlformats.org/drawingml/2006/picture">
                <pic:pic>
                  <pic:nvPicPr>
                    <pic:cNvPr id="0" name="region_change_10yr.png"/>
                    <pic:cNvPicPr/>
                  </pic:nvPicPr>
                  <pic:blipFill>
                    <a:blip r:embed="rId12"/>
                    <a:stretch>
                      <a:fillRect/>
                    </a:stretch>
                  </pic:blipFill>
                  <pic:spPr>
                    <a:xfrm>
                      <a:off x="0" y="0"/>
                      <a:ext cx="5303520" cy="3696611"/>
                    </a:xfrm>
                    <a:prstGeom prst="rect"/>
                  </pic:spPr>
                </pic:pic>
              </a:graphicData>
            </a:graphic>
          </wp:inline>
        </w:drawing>
      </w:r>
    </w:p>
    <w:p>
      <w:pPr>
        <w:spacing w:after="240"/>
        <w:jc w:val="center"/>
      </w:pPr>
      <w:r>
        <w:rPr>
          <w:b w:val="0"/>
          <w:i/>
          <w:sz w:val="19"/>
          <w:rFonts w:ascii="맑은 고딕" w:hAnsi="맑은 고딕" w:eastAsia="맑은 고딕"/>
        </w:rPr>
        <w:t>그림. 최근 10년간(2015~2024) 시도별 사서 확보율 증감폭</w:t>
      </w:r>
    </w:p>
    <w:p>
      <w:r>
        <w:rPr>
          <w:b/>
          <w:i w:val="0"/>
          <w:sz w:val="20"/>
          <w:rFonts w:ascii="맑은 고딕" w:hAnsi="맑은 고딕" w:eastAsia="맑은 고딕"/>
        </w:rPr>
        <w:t>[표 슬라이드 1]</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337"/>
        <w:gridCol w:w="1337"/>
        <w:gridCol w:w="1337"/>
        <w:gridCol w:w="1337"/>
        <w:gridCol w:w="1337"/>
        <w:gridCol w:w="1337"/>
        <w:gridCol w:w="1337"/>
      </w:tblGrid>
      <w:tr>
        <w:trPr>
          <w:cantSplit/>
          <w:tblHeader/>
        </w:trPr>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순위</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지역</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2015년 확보율</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2024년 확보율</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변화폭 (%p)</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사서수 증가율</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직원수 증가율</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세종</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39.13%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64.24%</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+25.11%p</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+977.8%</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+556.5%</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제주</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31.62%</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44.83%</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+13.21%p</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+90.5%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+34.4%</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충남</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28.91%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39.71%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+10.80%p</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+76.5%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+28.5%</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경기</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26.97%</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37.44%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+10.48%p</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+77.3%</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+27.7%</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대구</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50.59%</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60.24%</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+9.65%p</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+44.2%</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+21.1%</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경남</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38.61%</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46.53%</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+7.92%p</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+65.4%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+37.3%</w:t>
            </w:r>
          </w:p>
        </w:tc>
      </w:tr>
    </w:tbl>
    <w:p/>
    <w:p>
      <w:r>
        <w:rPr>
          <w:b/>
          <w:i w:val="0"/>
          <w:sz w:val="20"/>
          <w:rFonts w:ascii="맑은 고딕" w:hAnsi="맑은 고딕" w:eastAsia="맑은 고딕"/>
        </w:rPr>
        <w:t>[표 슬라이드 2]</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337"/>
        <w:gridCol w:w="1337"/>
        <w:gridCol w:w="1337"/>
        <w:gridCol w:w="1337"/>
        <w:gridCol w:w="1337"/>
        <w:gridCol w:w="1337"/>
        <w:gridCol w:w="1337"/>
      </w:tblGrid>
      <w:tr>
        <w:trPr>
          <w:cantSplit/>
          <w:tblHeader/>
        </w:trPr>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순위</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지역</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2015년 확보율</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2024년 확보율</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변화폭 (%p)</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사서수 증가율</w:t>
            </w:r>
          </w:p>
        </w:tc>
        <w:tc>
          <w:tcPr>
            <w:tcW w:type="dxa" w:w="1337"/>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직원수 증가율</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전국</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37.26%</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44.75%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+7.49%p</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+63.3%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+36.0%</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8</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서울</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55.29%</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62.51%</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+7.22%p</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+72.0%</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+52.2%</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강원</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30.36%</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37.19%</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+6.83%p</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+65.6%</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+35.2%</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10</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부산</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54.05%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60.69%</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+6.64%p</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+52.3%</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+35.6%</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11</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전북</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30.03%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34.82%</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+4.79%p</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+58.0%</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+36.3%</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12</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광주</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32.00%</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35.55%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+3.55%p</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+43.4%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+29.1%</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울산</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38.89%</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42.43%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+3.54%p</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+36.2%</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+24.8%</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대전</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43.24%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45.76%</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+2.52%p</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+25.7%</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+18.8%</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15</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전남</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31.92%</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32.88%</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+0.95%p</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+47.4%</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+43.1%</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16</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충북</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34.19%</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35.04%</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+0.84%p</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+46.5%</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+43.0%</w:t>
            </w:r>
          </w:p>
        </w:tc>
      </w:tr>
      <w:tr>
        <w:trPr>
          <w:cantSplit/>
        </w:trPr>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17</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인천</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43.43%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43.57%</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+0.14%p</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+33.3%</w:t>
            </w:r>
          </w:p>
        </w:tc>
        <w:tc>
          <w:tcPr>
            <w:tcW w:type="dxa" w:w="1337"/>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+32.9%</w:t>
            </w:r>
          </w:p>
        </w:tc>
      </w:tr>
      <w:tr>
        <w:trPr>
          <w:cantSplit/>
        </w:trPr>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18</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경북</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40.73%</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39.87%</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-0.86%p</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+44.7%</w:t>
            </w:r>
          </w:p>
        </w:tc>
        <w:tc>
          <w:tcPr>
            <w:tcW w:type="dxa" w:w="1337"/>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+47.9%</w:t>
            </w:r>
          </w:p>
        </w:tc>
      </w:tr>
    </w:tbl>
    <w:p/>
    <w:tbl>
      <w:tblPr>
        <w:tblW w:type="auto" w:w="0"/>
        <w:jc w:val="center"/>
        <w:tblLook w:firstColumn="1" w:firstRow="1" w:lastColumn="0" w:lastRow="0" w:noHBand="0" w:noVBand="1" w:val="04A0"/>
      </w:tblPr>
      <w:tblGrid>
        <w:gridCol w:w="9360"/>
      </w:tblGrid>
      <w:tr>
        <w:tc>
          <w:tcPr>
            <w:tcW w:type="dxa" w:w="9360"/>
            <w:shd w:fill="FFF8F5"/>
            <w:tcBorders>
              <w:top w:val="none"/>
              <w:left w:val="single" w:sz="36" w:space="0" w:color="C65911"/>
              <w:bottom w:val="none"/>
              <w:right w:val="none"/>
            </w:tcBorders>
            <w:tcMar>
              <w:top w:w="140" w:type="dxa"/>
              <w:bottom w:w="140" w:type="dxa"/>
              <w:left w:w="180" w:type="dxa"/>
              <w:right w:w="180" w:type="dxa"/>
            </w:tcMar>
          </w:tcPr>
          <w:p>
            <w:pPr>
              <w:spacing w:before="40" w:after="40" w:line="276" w:lineRule="auto"/>
              <w:ind w:left="360"/>
            </w:pPr>
            <w:r>
              <w:rPr>
                <w:b w:val="0"/>
                <w:i w:val="0"/>
                <w:color w:val="833C0C"/>
                <w:sz w:val="20"/>
                <w:rFonts w:ascii="맑은 고딕" w:hAnsi="맑은 고딕" w:eastAsia="맑은 고딕"/>
              </w:rPr>
              <w:t xml:space="preserve">•  </w:t>
            </w:r>
            <w:r>
              <w:rPr>
                <w:b w:val="0"/>
                <w:i w:val="0"/>
                <w:color w:val="833C0C"/>
                <w:sz w:val="20"/>
                <w:rFonts w:ascii="맑은 고딕" w:hAnsi="맑은 고딕" w:eastAsia="맑은 고딕"/>
              </w:rPr>
              <w:t>세종시의 인력 규모 확장</w:t>
            </w:r>
            <w:r>
              <w:rPr>
                <w:b/>
                <w:i w:val="0"/>
                <w:color w:val="833C0C"/>
                <w:sz w:val="20"/>
                <w:rFonts w:ascii="맑은 고딕" w:hAnsi="맑은 고딕" w:eastAsia="맑은 고딕"/>
              </w:rPr>
              <w:t>: 세종시는 10년 전 직원 23명, 사서 9명 수준에서 2024년 기준 직원 151명, 사서 97명으로 증가하여 사서 수가 977.8% 증가하였습니다. 그 결과 확보율은 25.11%p 상승하여 전국에서 가장 높은 수준을 보이고 있습니다.</w:t>
            </w:r>
          </w:p>
          <w:p>
            <w:pPr>
              <w:spacing w:before="40" w:after="40" w:line="276" w:lineRule="auto"/>
              <w:ind w:left="360"/>
            </w:pPr>
            <w:r>
              <w:rPr>
                <w:b w:val="0"/>
                <w:i w:val="0"/>
                <w:color w:val="833C0C"/>
                <w:sz w:val="20"/>
                <w:rFonts w:ascii="맑은 고딕" w:hAnsi="맑은 고딕" w:eastAsia="맑은 고딕"/>
              </w:rPr>
              <w:t xml:space="preserve">•  </w:t>
            </w:r>
            <w:r>
              <w:rPr>
                <w:b w:val="0"/>
                <w:i w:val="0"/>
                <w:color w:val="833C0C"/>
                <w:sz w:val="20"/>
                <w:rFonts w:ascii="맑은 고딕" w:hAnsi="맑은 고딕" w:eastAsia="맑은 고딕"/>
              </w:rPr>
              <w:t>경기·충남의 구조적 개선</w:t>
            </w:r>
            <w:r>
              <w:rPr>
                <w:b/>
                <w:i w:val="0"/>
                <w:color w:val="833C0C"/>
                <w:sz w:val="20"/>
                <w:rFonts w:ascii="맑은 고딕" w:hAnsi="맑은 고딕" w:eastAsia="맑은 고딕"/>
              </w:rPr>
              <w:t>: 10년 전 경기도(26.97%)와 충남(28.91%)은 상대적으로 저조한 확보율을 보였으나, 10년간 사서 채용을 각각 77.2%, 76.5% 확충하면서 10%p 이상의 구조적 개선을 이뤄냈습니다.</w:t>
            </w:r>
          </w:p>
          <w:p>
            <w:pPr>
              <w:spacing w:before="40" w:after="40" w:line="276" w:lineRule="auto"/>
              <w:ind w:left="360"/>
            </w:pPr>
            <w:r>
              <w:rPr>
                <w:b w:val="0"/>
                <w:i w:val="0"/>
                <w:color w:val="833C0C"/>
                <w:sz w:val="20"/>
                <w:rFonts w:ascii="맑은 고딕" w:hAnsi="맑은 고딕" w:eastAsia="맑은 고딕"/>
              </w:rPr>
              <w:t xml:space="preserve">•  </w:t>
            </w:r>
            <w:r>
              <w:rPr>
                <w:b w:val="0"/>
                <w:i w:val="0"/>
                <w:color w:val="833C0C"/>
                <w:sz w:val="20"/>
                <w:rFonts w:ascii="맑은 고딕" w:hAnsi="맑은 고딕" w:eastAsia="맑은 고딕"/>
              </w:rPr>
              <w:t>경북의 장기 하락</w:t>
            </w:r>
            <w:r>
              <w:rPr>
                <w:b/>
                <w:i w:val="0"/>
                <w:color w:val="833C0C"/>
                <w:sz w:val="20"/>
                <w:rFonts w:ascii="맑은 고딕" w:hAnsi="맑은 고딕" w:eastAsia="맑은 고딕"/>
              </w:rPr>
              <w:t>: 경북(-0.86%p)은 전국 17개 시도 중 지난 10년간 사서 확보율이 감소한 지자체로 기록되었습니다. 도서관 직원 규모는 47.9% 늘려놓았으나 사서 수의 충원율(44.7%)이 이에 미치지 못했습니다.</w:t>
            </w:r>
          </w:p>
        </w:tc>
      </w:tr>
    </w:tbl>
    <w:p/>
    <w:tbl>
      <w:tblPr>
        <w:tblW w:type="auto" w:w="0"/>
        <w:jc w:val="center"/>
        <w:tblLook w:firstColumn="1" w:firstRow="1" w:lastColumn="0" w:lastRow="0" w:noHBand="0" w:noVBand="1" w:val="04A0"/>
      </w:tblPr>
      <w:tblGrid>
        <w:gridCol w:w="9360"/>
      </w:tblGrid>
      <w:tr>
        <w:tc>
          <w:tcPr>
            <w:tcW w:type="dxa" w:w="9360"/>
            <w:shd w:fill="F2F7FA"/>
            <w:tcBorders>
              <w:top w:val="none"/>
              <w:left w:val="single" w:sz="36" w:space="0" w:color="2F5597"/>
              <w:bottom w:val="none"/>
              <w:right w:val="none"/>
            </w:tcBorders>
            <w:tcMar>
              <w:top w:w="140" w:type="dxa"/>
              <w:bottom w:w="140" w:type="dxa"/>
              <w:left w:w="180" w:type="dxa"/>
              <w:right w:w="180" w:type="dxa"/>
            </w:tcMar>
          </w:tcPr>
          <w:p>
            <w:pPr>
              <w:spacing w:before="40" w:after="40" w:line="276" w:lineRule="auto"/>
            </w:pPr>
            <w:r>
              <w:rPr>
                <w:b/>
                <w:i w:val="0"/>
                <w:color w:val="1F4E79"/>
                <w:sz w:val="20"/>
                <w:rFonts w:ascii="맑은 고딕" w:hAnsi="맑은 고딕" w:eastAsia="맑은 고딕"/>
              </w:rPr>
              <w:t>세종특별자치시 지표 스파이크에 대한 심층 분석 (증가율 977.8%)</w:t>
            </w:r>
          </w:p>
          <w:p>
            <w:pPr>
              <w:spacing w:before="40" w:after="40" w:line="276" w:lineRule="auto"/>
              <w:ind w:left="360"/>
            </w:pPr>
            <w:r>
              <w:rPr>
                <w:b w:val="0"/>
                <w:i w:val="0"/>
                <w:color w:val="1F4E79"/>
                <w:sz w:val="20"/>
                <w:rFonts w:ascii="맑은 고딕" w:hAnsi="맑은 고딕" w:eastAsia="맑은 고딕"/>
              </w:rPr>
              <w:t xml:space="preserve">•  </w:t>
            </w:r>
            <w:r>
              <w:rPr>
                <w:b w:val="0"/>
                <w:i w:val="0"/>
                <w:color w:val="1F4E79"/>
                <w:sz w:val="20"/>
                <w:rFonts w:ascii="맑은 고딕" w:hAnsi="맑은 고딕" w:eastAsia="맑은 고딕"/>
              </w:rPr>
              <w:t>세종시의 사서 수 증가율(977.8%) 및 직원 수 증가율(556.5%)은 통계 오류나 노이즈가 아닌, 행정중심복합도시 건설에 따른 특수 요인이 적용된 수치입니다.</w:t>
            </w:r>
          </w:p>
          <w:p>
            <w:pPr>
              <w:spacing w:before="40" w:after="40" w:line="276" w:lineRule="auto"/>
              <w:ind w:left="360"/>
            </w:pPr>
            <w:r>
              <w:rPr>
                <w:b w:val="0"/>
                <w:i w:val="0"/>
                <w:color w:val="1F4E79"/>
                <w:sz w:val="20"/>
                <w:rFonts w:ascii="맑은 고딕" w:hAnsi="맑은 고딕" w:eastAsia="맑은 고딕"/>
              </w:rPr>
              <w:t xml:space="preserve">•  </w:t>
            </w:r>
            <w:r>
              <w:rPr>
                <w:b w:val="0"/>
                <w:i w:val="0"/>
                <w:color w:val="1F4E79"/>
                <w:sz w:val="20"/>
                <w:rFonts w:ascii="맑은 고딕" w:hAnsi="맑은 고딕" w:eastAsia="맑은 고딕"/>
              </w:rPr>
              <w:t>2015년 당시 세종시는 출범 초기 단계로 4개 공공도서관에 사서 9명이 근무하는 초미니 구조였으나, 중앙 부처 이전과 대규모 주거 단지 조성에 따라 지난 10년간 복합커뮤니티센터 내 도서관 and 대형 시립도서관이 연달아 개관하였습니다. 이에 따라 분모가 매우 작았던 상태에서 대규모 인프라 및 신규 전문 인력이 집중 이식되면서 비경상적인 수치 폭증을 기록하게 되었습니다.</w:t>
            </w:r>
          </w:p>
        </w:tc>
      </w:tr>
    </w:tbl>
    <w:p/>
    <w:p>
      <w:pPr>
        <w:keepNext/>
        <w:spacing w:before="280" w:after="120"/>
      </w:pPr>
      <w:r>
        <w:rPr>
          <w:b/>
          <w:i w:val="0"/>
          <w:color w:val="2F5597"/>
          <w:sz w:val="30"/>
          <w:rFonts w:ascii="맑은 고딕" w:hAnsi="맑은 고딕" w:eastAsia="맑은 고딕"/>
        </w:rPr>
        <w:t>5. 예산 규모와 사서 인력 배치의 불균형 (행정 로드 집중 현상)</w:t>
      </w:r>
    </w:p>
    <w:p>
      <w:pPr>
        <w:spacing w:before="0" w:after="120" w:line="276" w:lineRule="auto"/>
      </w:pPr>
      <w:r>
        <w:rPr>
          <w:b w:val="0"/>
          <w:i w:val="0"/>
          <w:sz w:val="20"/>
          <w:rFonts w:ascii="맑은 고딕" w:hAnsi="맑은 고딕" w:eastAsia="맑은 고딕"/>
        </w:rPr>
        <w:t>도서관 예산의 지출 규모 및 자료 구입비 비중을 전문 사서 수와 매핑하여, 사서 부족이 가져오는 행정적 책임의 영향(행정 로드 집중)을 분석했습니다.</w:t>
      </w:r>
    </w:p>
    <w:p>
      <w:pPr>
        <w:keepNext/>
        <w:spacing w:before="280" w:after="120"/>
      </w:pPr>
      <w:r>
        <w:rPr>
          <w:b/>
          <w:i w:val="0"/>
          <w:color w:val="5B9BD5"/>
          <w:sz w:val="24"/>
          <w:rFonts w:ascii="맑은 고딕" w:hAnsi="맑은 고딕" w:eastAsia="맑은 고딕"/>
        </w:rPr>
        <w:t>2024년 지역별 도서관 당 예산액 및 사서 1인당 배정 예산 현황</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rPr>
          <w:cantSplit/>
          <w:tblHeader/>
        </w:trPr>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지역</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도서관 수 (관)</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수 (명)</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1관당 평균 예산 (백만원)</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1인당 예산 (백만원)</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자료구입비 비중 (%)</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부산</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56</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559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1,386.0</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138.8</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11.1%</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인천</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54</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432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1,340.8</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167.6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7.3%</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광주</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30</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195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1,282.2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197.3</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7.5%</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울산</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21</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143</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1,233.7</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181.2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12.6%</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경북</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74</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372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1,211.4</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241.0</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7.9%</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경남</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79</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617</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1,210.0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154.9</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7.5%</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서울</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212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2,085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1,172.4</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119.2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7.4%</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충남</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65</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300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1,154.7</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250.2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7.9%</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대전</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26</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181</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1,143.9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164.3</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8.3%</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경기</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323</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2,168</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1,121.1</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167.0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7.6%</w:t>
            </w:r>
          </w:p>
        </w:tc>
      </w:tr>
      <w:tr>
        <w:trPr>
          <w:cantSplit/>
        </w:trPr>
        <w:tc>
          <w:tcPr>
            <w:tcW w:type="dxa" w:w="1560"/>
            <w:vAlign w:val="center"/>
            <w:tcMar>
              <w:top w:w="120" w:type="dxa"/>
              <w:bottom w:w="120" w:type="dxa"/>
              <w:left w:w="150" w:type="dxa"/>
              <w:right w:w="150" w:type="dxa"/>
            </w:tcMar>
            <w:shd w:fill="FFFFFF"/>
          </w:tcPr>
          <w:p>
            <w:pPr>
              <w:jc w:val="center"/>
            </w:pPr>
            <w:r>
              <w:rPr>
                <w:b/>
                <w:i w:val="0"/>
                <w:sz w:val="19"/>
                <w:rFonts w:ascii="맑은 고딕" w:hAnsi="맑은 고딕" w:eastAsia="맑은 고딕"/>
              </w:rPr>
              <w:t>전국</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1,296</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8,768</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1,119.4</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165.5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7.8%</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제주</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141</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1,042.0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162.6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7.6%</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전남</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311</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1,021.6</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252.9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7.6%</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충북</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233</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1,014.9</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243.9</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6.2%</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전북</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297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948.0</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213.9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5.8%</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대구</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49</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372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937.1</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123.4</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10.4%</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강원</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265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844.6</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219.9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7.6%</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세종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97</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593.9</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98.0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8.7%</w:t>
            </w:r>
          </w:p>
        </w:tc>
      </w:tr>
    </w:tbl>
    <w:p/>
    <w:p>
      <w:pPr>
        <w:keepNext/>
        <w:spacing w:before="280" w:after="120"/>
      </w:pPr>
      <w:r>
        <w:rPr>
          <w:b/>
          <w:i w:val="0"/>
          <w:color w:val="5B9BD5"/>
          <w:sz w:val="24"/>
          <w:rFonts w:ascii="맑은 고딕" w:hAnsi="맑은 고딕" w:eastAsia="맑은 고딕"/>
        </w:rPr>
        <w:t>주요 인사이트 (예산-사서 비매칭)</w:t>
      </w:r>
    </w:p>
    <w:p>
      <w:pPr>
        <w:spacing w:before="0" w:after="120" w:line="276" w:lineRule="auto"/>
      </w:pPr>
      <w:r>
        <w:rPr>
          <w:b w:val="0"/>
          <w:i w:val="0"/>
          <w:sz w:val="20"/>
          <w:rFonts w:ascii="맑은 고딕" w:hAnsi="맑은 고딕" w:eastAsia="맑은 고딕"/>
        </w:rPr>
        <w:t xml:space="preserve">1. </w:t>
      </w:r>
      <w:r>
        <w:rPr>
          <w:b/>
          <w:i w:val="0"/>
          <w:sz w:val="20"/>
          <w:rFonts w:ascii="맑은 고딕" w:hAnsi="맑은 고딕" w:eastAsia="맑은 고딕"/>
        </w:rPr>
        <w:t>사서 1인당 행정 및 관리 책임의 집중 (지방 도 단위)</w:t>
      </w:r>
      <w:r>
        <w:rPr>
          <w:b w:val="0"/>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전남(2억 5,300만원), 충남(2억 5,000만원), 충북(2억 4,400만원), 경북(2억 4,100만원) 등은 사서 1인당 매칭되는 도서관 예산이 2억 4천만 원을 넘어 높은 수준을 기록했습니다.</w:t>
      </w:r>
    </w:p>
    <w:p>
      <w:pPr>
        <w:pStyle w:val="ListBullet"/>
        <w:spacing w:before="0" w:after="80" w:line="276" w:lineRule="auto"/>
      </w:pPr>
      <w:r>
        <w:rPr>
          <w:b w:val="0"/>
          <w:i w:val="0"/>
          <w:sz w:val="20"/>
          <w:rFonts w:ascii="맑은 고딕" w:hAnsi="맑은 고딕" w:eastAsia="맑은 고딕"/>
        </w:rPr>
        <w:t>반면 사서 확보율이 높은 서울(1억 1,900만원), 세종(9,800만원), 대구(1억 2,300만원) 등은 사서 1인당 예산 배정액이 지방 지자체의 절반 수준입니다.</w:t>
      </w:r>
    </w:p>
    <w:p>
      <w:pPr>
        <w:pStyle w:val="ListBullet"/>
        <w:spacing w:before="0" w:after="80" w:line="276" w:lineRule="auto"/>
      </w:pPr>
      <w:r>
        <w:rPr>
          <w:b w:val="0"/>
          <w:i w:val="0"/>
          <w:sz w:val="20"/>
          <w:rFonts w:ascii="맑은 고딕" w:hAnsi="맑은 고딕" w:eastAsia="맑은 고딕"/>
        </w:rPr>
        <w:t>결론</w:t>
      </w:r>
      <w:r>
        <w:rPr>
          <w:b/>
          <w:i w:val="0"/>
          <w:sz w:val="20"/>
          <w:rFonts w:ascii="맑은 고딕" w:hAnsi="맑은 고딕" w:eastAsia="맑은 고딕"/>
        </w:rPr>
        <w:t>: 지방 도 단위 지역은 도서관 당 전체 예산은 적지 않으나 사서 인력이 상대적으로 적어, 소수의 사서가 더 많은 예산 집행 책임과 계약, 행정 업무를 분담하고 있음을 시사합니다.</w:t>
      </w:r>
    </w:p>
    <w:p>
      <w:pPr>
        <w:spacing w:before="0" w:after="120" w:line="276" w:lineRule="auto"/>
      </w:pPr>
      <w:r>
        <w:rPr>
          <w:b w:val="0"/>
          <w:i w:val="0"/>
          <w:sz w:val="20"/>
          <w:rFonts w:ascii="맑은 고딕" w:hAnsi="맑은 고딕" w:eastAsia="맑은 고딕"/>
        </w:rPr>
        <w:t xml:space="preserve">2. </w:t>
      </w:r>
      <w:r>
        <w:rPr>
          <w:b/>
          <w:i w:val="0"/>
          <w:sz w:val="20"/>
          <w:rFonts w:ascii="맑은 고딕" w:hAnsi="맑은 고딕" w:eastAsia="맑은 고딕"/>
        </w:rPr>
        <w:t>콘텐츠 투자 비중 (자료구입비 비중)</w:t>
      </w:r>
      <w:r>
        <w:rPr>
          <w:b w:val="0"/>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울산(12.6%), 부산(11.1%), 대구(10.4%) 등 광역시는 예산 중 10% 이상을 새로운 자료 구입에 적극적으로 배정하는 반면, 전북(5.8%), 충북(6.2%) 등 사서율이 낮은 지방 지자체는 장서 확충을 위한 투자율이 낮은 편에 속합니다.</w:t>
      </w:r>
    </w:p>
    <w:p>
      <w:pPr>
        <w:keepNext/>
        <w:spacing w:before="280" w:after="120"/>
      </w:pPr>
      <w:r>
        <w:rPr>
          <w:b/>
          <w:i w:val="0"/>
          <w:color w:val="2F5597"/>
          <w:sz w:val="30"/>
          <w:rFonts w:ascii="맑은 고딕" w:hAnsi="맑은 고딕" w:eastAsia="맑은 고딕"/>
        </w:rPr>
        <w:t>6. 도서관 공간 소비 패턴 및 이용 활성화 지표 (방문자당 대출률)</w:t>
      </w:r>
    </w:p>
    <w:p>
      <w:pPr>
        <w:spacing w:before="0" w:after="120" w:line="276" w:lineRule="auto"/>
      </w:pPr>
      <w:r>
        <w:rPr>
          <w:b w:val="0"/>
          <w:i w:val="0"/>
          <w:sz w:val="20"/>
          <w:rFonts w:ascii="맑은 고딕" w:hAnsi="맑은 고딕" w:eastAsia="맑은 고딕"/>
        </w:rPr>
        <w:t>단순 방문객 수에 머무르지 않고, 도서관을 직접 방문한 이용자들이 사서 인력과 장서의 상호작용 속에서 얼마나 책을 대출하는가(활성화율)를 평가했습니다.</w:t>
      </w:r>
    </w:p>
    <w:p>
      <w:pPr>
        <w:keepNext/>
        <w:spacing w:before="280" w:after="120"/>
      </w:pPr>
      <w:r>
        <w:rPr>
          <w:b/>
          <w:i w:val="0"/>
          <w:color w:val="5B9BD5"/>
          <w:sz w:val="24"/>
          <w:rFonts w:ascii="맑은 고딕" w:hAnsi="맑은 고딕" w:eastAsia="맑은 고딕"/>
        </w:rPr>
        <w:t>2024년 지역별 방문자 1인당 대출 도서 수 현황</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rPr>
          <w:cantSplit/>
          <w:tblHeader/>
        </w:trPr>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지역</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수 (명)</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연간 총 방문자 수 (명)</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연간 총 대출 도서 수 (권)</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방문자 1인당 대출 수 (권)</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확보율 (%)</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세종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1,548,503</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2,153,577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1.39권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64.2%</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제주</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141</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2,400,058</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2,520,780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1.05권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44.8%</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충북</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233</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4,586,612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4,056,682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0.88권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35.0%</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충남</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300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6,885,650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5,546,837</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0.81권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39.7%</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대구</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372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8,951,513</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7,137,868</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0.80권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60.2%</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부산</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559</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11,049,632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8,276,746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0.75권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60.7%</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대전</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181</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5,615,115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4,114,220</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0.73권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45.8%</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경기</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2,168</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66,656,658</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47,756,847</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0.72권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37.4%</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경남</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617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13,822,800</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9,265,778</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0.67권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46.5%</w:t>
            </w:r>
          </w:p>
        </w:tc>
      </w:tr>
      <w:tr>
        <w:trPr>
          <w:cantSplit/>
        </w:trPr>
        <w:tc>
          <w:tcPr>
            <w:tcW w:type="dxa" w:w="1560"/>
            <w:vAlign w:val="center"/>
            <w:tcMar>
              <w:top w:w="120" w:type="dxa"/>
              <w:bottom w:w="120" w:type="dxa"/>
              <w:left w:w="150" w:type="dxa"/>
              <w:right w:w="150" w:type="dxa"/>
            </w:tcMar>
            <w:shd w:fill="F9FBFD"/>
          </w:tcPr>
          <w:p>
            <w:pPr>
              <w:jc w:val="center"/>
            </w:pPr>
            <w:r>
              <w:rPr>
                <w:b/>
                <w:i w:val="0"/>
                <w:sz w:val="19"/>
                <w:rFonts w:ascii="맑은 고딕" w:hAnsi="맑은 고딕" w:eastAsia="맑은 고딕"/>
              </w:rPr>
              <w:t>전국</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8,768</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224,207,926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146,742,153</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0.65권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44.8%</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전북</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297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5,534,835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3,562,380</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0.64권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34.8%</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경북</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372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8,833,294</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5,638,562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0.64권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39.9%</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울산</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143</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4,875,184</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2,889,455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0.59권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42.4%</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광주</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195</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5,891,469</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3,408,546</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0.58권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35.6%</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인천</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432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10,530,518</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6,040,165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0.57권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43.6%</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서울</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2,085</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52,250,034</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26,881,519</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0.51권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62.5%</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전남</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311</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7,866,527</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4,026,848</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0.51권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32.9%</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강원</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265</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6,909,524</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3,465,343</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0.50권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37.2%</w:t>
            </w:r>
          </w:p>
        </w:tc>
      </w:tr>
    </w:tbl>
    <w:p/>
    <w:tbl>
      <w:tblPr>
        <w:tblW w:type="auto" w:w="0"/>
        <w:jc w:val="center"/>
        <w:tblLook w:firstColumn="1" w:firstRow="1" w:lastColumn="0" w:lastRow="0" w:noHBand="0" w:noVBand="1" w:val="04A0"/>
      </w:tblPr>
      <w:tblGrid>
        <w:gridCol w:w="9360"/>
      </w:tblGrid>
      <w:tr>
        <w:tc>
          <w:tcPr>
            <w:tcW w:type="dxa" w:w="9360"/>
            <w:shd w:fill="F2F7FA"/>
            <w:tcBorders>
              <w:top w:val="none"/>
              <w:left w:val="single" w:sz="36" w:space="0" w:color="2F5597"/>
              <w:bottom w:val="none"/>
              <w:right w:val="none"/>
            </w:tcBorders>
            <w:tcMar>
              <w:top w:w="140" w:type="dxa"/>
              <w:bottom w:w="140" w:type="dxa"/>
              <w:left w:w="180" w:type="dxa"/>
              <w:right w:w="180" w:type="dxa"/>
            </w:tcMar>
          </w:tcPr>
          <w:p>
            <w:pPr>
              <w:spacing w:before="40" w:after="40" w:line="276" w:lineRule="auto"/>
              <w:ind w:left="360"/>
            </w:pPr>
            <w:r>
              <w:rPr>
                <w:b w:val="0"/>
                <w:i w:val="0"/>
                <w:color w:val="1F4E79"/>
                <w:sz w:val="20"/>
                <w:rFonts w:ascii="맑은 고딕" w:hAnsi="맑은 고딕" w:eastAsia="맑은 고딕"/>
              </w:rPr>
              <w:t xml:space="preserve">•  </w:t>
            </w:r>
            <w:r>
              <w:rPr>
                <w:b w:val="0"/>
                <w:i w:val="0"/>
                <w:color w:val="1F4E79"/>
                <w:sz w:val="20"/>
                <w:rFonts w:ascii="맑은 고딕" w:hAnsi="맑은 고딕" w:eastAsia="맑은 고딕"/>
              </w:rPr>
              <w:t>방문자 수 및 대출 도서 수</w:t>
            </w:r>
            <w:r>
              <w:rPr>
                <w:b/>
                <w:i w:val="0"/>
                <w:color w:val="1F4E79"/>
                <w:sz w:val="20"/>
                <w:rFonts w:ascii="맑은 고딕" w:hAnsi="맑은 고딕" w:eastAsia="맑은 고딕"/>
              </w:rPr>
              <w:t xml:space="preserve">는 1년(1월 1일 ~ 12월 31일) 동안 도서관에서 누적하여 집계한 </w:t>
            </w:r>
            <w:r>
              <w:rPr>
                <w:b w:val="0"/>
                <w:i w:val="0"/>
                <w:color w:val="1F4E79"/>
                <w:sz w:val="20"/>
                <w:rFonts w:ascii="맑은 고딕" w:hAnsi="맑은 고딕" w:eastAsia="맑은 고딕"/>
              </w:rPr>
              <w:t>기간 누적(Flow) 지표</w:t>
            </w:r>
            <w:r>
              <w:rPr>
                <w:b/>
                <w:i w:val="0"/>
                <w:color w:val="1F4E79"/>
                <w:sz w:val="20"/>
                <w:rFonts w:ascii="맑은 고딕" w:hAnsi="맑은 고딕" w:eastAsia="맑은 고딕"/>
              </w:rPr>
              <w:t>입니다.</w:t>
            </w:r>
          </w:p>
        </w:tc>
      </w:tr>
    </w:tbl>
    <w:p/>
    <w:p>
      <w:pPr>
        <w:keepNext/>
        <w:spacing w:before="280" w:after="120"/>
      </w:pPr>
      <w:r>
        <w:rPr>
          <w:b/>
          <w:i w:val="0"/>
          <w:color w:val="5B9BD5"/>
          <w:sz w:val="24"/>
          <w:rFonts w:ascii="맑은 고딕" w:hAnsi="맑은 고딕" w:eastAsia="맑은 고딕"/>
        </w:rPr>
        <w:t>주요 인사이트 (공간 활성화 패턴)</w:t>
      </w:r>
    </w:p>
    <w:p>
      <w:pPr>
        <w:spacing w:before="0" w:after="120" w:line="276" w:lineRule="auto"/>
      </w:pPr>
      <w:r>
        <w:rPr>
          <w:b w:val="0"/>
          <w:i w:val="0"/>
          <w:sz w:val="20"/>
          <w:rFonts w:ascii="맑은 고딕" w:hAnsi="맑은 고딕" w:eastAsia="맑은 고딕"/>
        </w:rPr>
        <w:t xml:space="preserve">1. </w:t>
      </w:r>
      <w:r>
        <w:rPr>
          <w:b/>
          <w:i w:val="0"/>
          <w:sz w:val="20"/>
          <w:rFonts w:ascii="맑은 고딕" w:hAnsi="맑은 고딕" w:eastAsia="맑은 고딕"/>
        </w:rPr>
        <w:t>활성화 지표 상위 지역 (세종, 대구, 부산)</w:t>
      </w:r>
      <w:r>
        <w:rPr>
          <w:b w:val="0"/>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세종시(방문자 1인당 1.39권 대출, 1위)는 방문객 대비 가장 활발한 대출 행태를 보입니다. 높은 사서 확보율(64.2%)과 정보 서비스 지원이 결합된 사례입니다. 대구(0.80권), 부산(0.75권)도 우수한 활성화 지표를 보여줍니다.</w:t>
      </w:r>
    </w:p>
    <w:p>
      <w:pPr>
        <w:spacing w:before="0" w:after="120" w:line="276" w:lineRule="auto"/>
      </w:pPr>
      <w:r>
        <w:rPr>
          <w:b w:val="0"/>
          <w:i w:val="0"/>
          <w:sz w:val="20"/>
          <w:rFonts w:ascii="맑은 고딕" w:hAnsi="맑은 고딕" w:eastAsia="맑은 고딕"/>
        </w:rPr>
        <w:t xml:space="preserve">2. </w:t>
      </w:r>
      <w:r>
        <w:rPr>
          <w:b/>
          <w:i w:val="0"/>
          <w:sz w:val="20"/>
          <w:rFonts w:ascii="맑은 고딕" w:hAnsi="맑은 고딕" w:eastAsia="맑은 고딕"/>
        </w:rPr>
        <w:t>복합 문화 공간 성격의 방문 패턴 (서울)</w:t>
      </w:r>
      <w:r>
        <w:rPr>
          <w:b w:val="0"/>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서울시(0.51권, 하위권)는 사서 확보율이 최고 수준(62.5%)임에도 불구하고 방문객 1인당 대출 수는 하위권입니다.</w:t>
      </w:r>
    </w:p>
    <w:p>
      <w:pPr>
        <w:pStyle w:val="ListBullet"/>
        <w:spacing w:before="0" w:after="80" w:line="276" w:lineRule="auto"/>
      </w:pPr>
      <w:r>
        <w:rPr>
          <w:b w:val="0"/>
          <w:i w:val="0"/>
          <w:sz w:val="20"/>
          <w:rFonts w:ascii="맑은 고딕" w:hAnsi="맑은 고딕" w:eastAsia="맑은 고딕"/>
        </w:rPr>
        <w:t>이유</w:t>
      </w:r>
      <w:r>
        <w:rPr>
          <w:b/>
          <w:i w:val="0"/>
          <w:sz w:val="20"/>
          <w:rFonts w:ascii="맑은 고딕" w:hAnsi="맑은 고딕" w:eastAsia="맑은 고딕"/>
        </w:rPr>
        <w:t>: 서울시의 도서관은 단순 도서 대출 목적 외에도 학습, 세미나, 정보 검색, 문화 강좌 수강, 북 전시 관람 등 공간 자체를 복합적으로 활용하는 경향이 강함을 입증합니다.</w:t>
      </w:r>
    </w:p>
    <w:p>
      <w:pPr>
        <w:spacing w:before="0" w:after="120" w:line="276" w:lineRule="auto"/>
      </w:pPr>
      <w:r>
        <w:rPr>
          <w:b w:val="0"/>
          <w:i w:val="0"/>
          <w:sz w:val="20"/>
          <w:rFonts w:ascii="맑은 고딕" w:hAnsi="맑은 고딕" w:eastAsia="맑은 고딕"/>
        </w:rPr>
        <w:t xml:space="preserve">3. </w:t>
      </w:r>
      <w:r>
        <w:rPr>
          <w:b/>
          <w:i w:val="0"/>
          <w:sz w:val="20"/>
          <w:rFonts w:ascii="맑은 고딕" w:hAnsi="맑은 고딕" w:eastAsia="맑은 고딕"/>
        </w:rPr>
        <w:t>인력 부족과 서비스 활성화의 상관관계 (전남, 강원)</w:t>
      </w:r>
      <w:r>
        <w:rPr>
          <w:b w:val="0"/>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전남(0.51권), 강원(0.50권)은 사서 확보율이 낮으면서 이용 활성화 지표도 낮은 수준을 기록했습니다. 인력 부족이 도서관 프로그램 기획에 미친 영향이 이용자들의 능동적인 대출 참여 감소로 이어졌을 가능성을 보여줍니다.</w:t>
      </w:r>
    </w:p>
    <w:p>
      <w:pPr>
        <w:keepNext/>
        <w:spacing w:before="280" w:after="120"/>
      </w:pPr>
      <w:r>
        <w:rPr>
          <w:b/>
          <w:i w:val="0"/>
          <w:color w:val="2F5597"/>
          <w:sz w:val="30"/>
          <w:rFonts w:ascii="맑은 고딕" w:hAnsi="맑은 고딕" w:eastAsia="맑은 고딕"/>
        </w:rPr>
        <w:t>7. 글로벌 주요국(OECD/IFLA) 공공도서관 지표 비교 및 한국의 위치</w:t>
      </w:r>
    </w:p>
    <w:p>
      <w:pPr>
        <w:spacing w:before="0" w:after="120" w:line="276" w:lineRule="auto"/>
      </w:pPr>
      <w:r>
        <w:rPr>
          <w:b w:val="0"/>
          <w:i w:val="0"/>
          <w:sz w:val="20"/>
          <w:rFonts w:ascii="맑은 고딕" w:hAnsi="맑은 고딕" w:eastAsia="맑은 고딕"/>
        </w:rPr>
        <w:t>대한민국의 공공도서관 인프라 및 사서 배치 수준을 국제 통계 지표와 비교하여 글로벌 관점에서의 위치를 분석했습니다.</w:t>
      </w:r>
    </w:p>
    <w:p>
      <w:pPr>
        <w:keepNext/>
        <w:spacing w:before="280" w:after="120"/>
      </w:pPr>
      <w:r>
        <w:rPr>
          <w:b/>
          <w:i w:val="0"/>
          <w:color w:val="5B9BD5"/>
          <w:sz w:val="24"/>
          <w:rFonts w:ascii="맑은 고딕" w:hAnsi="맑은 고딕" w:eastAsia="맑은 고딕"/>
        </w:rPr>
        <w:t>공공도서관 1관당 담당 인구 수 국제 비교</w:t>
      </w:r>
    </w:p>
    <w:p>
      <w:pPr>
        <w:jc w:val="center"/>
      </w:pPr>
      <w:r>
        <w:drawing>
          <wp:inline xmlns:a="http://schemas.openxmlformats.org/drawingml/2006/main" xmlns:pic="http://schemas.openxmlformats.org/drawingml/2006/picture">
            <wp:extent cx="5303520" cy="2608642"/>
            <wp:docPr id="4" name="Picture 4"/>
            <wp:cNvGraphicFramePr>
              <a:graphicFrameLocks noChangeAspect="1"/>
            </wp:cNvGraphicFramePr>
            <a:graphic>
              <a:graphicData uri="http://schemas.openxmlformats.org/drawingml/2006/picture">
                <pic:pic>
                  <pic:nvPicPr>
                    <pic:cNvPr id="0" name="international_comparison.png"/>
                    <pic:cNvPicPr/>
                  </pic:nvPicPr>
                  <pic:blipFill>
                    <a:blip r:embed="rId13"/>
                    <a:stretch>
                      <a:fillRect/>
                    </a:stretch>
                  </pic:blipFill>
                  <pic:spPr>
                    <a:xfrm>
                      <a:off x="0" y="0"/>
                      <a:ext cx="5303520" cy="2608642"/>
                    </a:xfrm>
                    <a:prstGeom prst="rect"/>
                  </pic:spPr>
                </pic:pic>
              </a:graphicData>
            </a:graphic>
          </wp:inline>
        </w:drawing>
      </w:r>
    </w:p>
    <w:p>
      <w:pPr>
        <w:spacing w:after="240"/>
        <w:jc w:val="center"/>
      </w:pPr>
      <w:r>
        <w:rPr>
          <w:b w:val="0"/>
          <w:i/>
          <w:sz w:val="19"/>
          <w:rFonts w:ascii="맑은 고딕" w:hAnsi="맑은 고딕" w:eastAsia="맑은 고딕"/>
        </w:rPr>
        <w:t>그림. 공공도서관 1관당 담당 인구 수 국제 비교</w:t>
      </w:r>
    </w:p>
    <w:p>
      <w:pPr>
        <w:keepNext/>
        <w:spacing w:before="280" w:after="120"/>
      </w:pPr>
      <w:r>
        <w:rPr>
          <w:b/>
          <w:i w:val="0"/>
          <w:color w:val="5B9BD5"/>
          <w:sz w:val="24"/>
          <w:rFonts w:ascii="맑은 고딕" w:hAnsi="맑은 고딕" w:eastAsia="맑은 고딕"/>
        </w:rPr>
        <w:t>주요 비교 지표</w:t>
      </w:r>
    </w:p>
    <w:p>
      <w:pPr>
        <w:pStyle w:val="ListBullet"/>
        <w:spacing w:before="0" w:after="80" w:line="276" w:lineRule="auto"/>
      </w:pPr>
      <w:r>
        <w:rPr>
          <w:b w:val="0"/>
          <w:i w:val="0"/>
          <w:sz w:val="20"/>
          <w:rFonts w:ascii="맑은 고딕" w:hAnsi="맑은 고딕" w:eastAsia="맑은 고딕"/>
        </w:rPr>
        <w:t>도서관 1관당 담당 인구 (접근성)</w:t>
      </w:r>
      <w:r>
        <w:rPr>
          <w:b/>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대한민국은 도서관 1관당 39,519명의 인구를 담당하고 있어 주요 선진국 대비 서비스 접근 밀도가 낮은 편입니다.</w:t>
      </w:r>
    </w:p>
    <w:p>
      <w:pPr>
        <w:pStyle w:val="ListBullet"/>
        <w:spacing w:before="0" w:after="80" w:line="276" w:lineRule="auto"/>
      </w:pPr>
      <w:r>
        <w:rPr>
          <w:b w:val="0"/>
          <w:i w:val="0"/>
          <w:sz w:val="20"/>
          <w:rFonts w:ascii="맑은 고딕" w:hAnsi="맑은 고딕" w:eastAsia="맑은 고딕"/>
        </w:rPr>
        <w:t>독일(약 12,000명), 호주(약 15,000명)는 물론 일본(약 37,000명)이나 미국(약 36,000명)보다도 1관당 담당 인구 수가 많습니다.</w:t>
      </w:r>
    </w:p>
    <w:p>
      <w:pPr>
        <w:pStyle w:val="ListBullet"/>
        <w:spacing w:before="0" w:after="80" w:line="276" w:lineRule="auto"/>
      </w:pPr>
      <w:r>
        <w:rPr>
          <w:b w:val="0"/>
          <w:i w:val="0"/>
          <w:sz w:val="20"/>
          <w:rFonts w:ascii="맑은 고딕" w:hAnsi="맑은 고딕" w:eastAsia="맑은 고딕"/>
        </w:rPr>
        <w:t>사서 1인당 서비스 인구 (인력 밀도)</w:t>
      </w:r>
      <w:r>
        <w:rPr>
          <w:b/>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한국의 공식 정규직 사서 기준(6,072명) 사서 1인당 담당 인구는 8,435명에 달합니다. (자격 보유자 전체 기준 8,768명 매핑 시에도 약 5,800명 수준)</w:t>
      </w:r>
    </w:p>
    <w:p>
      <w:pPr>
        <w:pStyle w:val="ListBullet"/>
        <w:spacing w:before="0" w:after="80" w:line="276" w:lineRule="auto"/>
      </w:pPr>
      <w:r>
        <w:rPr>
          <w:b w:val="0"/>
          <w:i w:val="0"/>
          <w:sz w:val="20"/>
          <w:rFonts w:ascii="맑은 고딕" w:hAnsi="맑은 고딕" w:eastAsia="맑은 고딕"/>
        </w:rPr>
        <w:t>이는 미국의 약 3,500 ~ 4,000명, 일본의 약 4,000 ~ 5,000명, 유럽 주요국(독일, 북유럽 등)의 1,500 ~ 2,500명 선에 비해 사서 1인이 서비스해야 하는 대상 인구가 많은 편입니다.</w:t>
      </w:r>
    </w:p>
    <w:p>
      <w:pPr>
        <w:pStyle w:val="ListBullet"/>
        <w:spacing w:before="0" w:after="80" w:line="276" w:lineRule="auto"/>
      </w:pPr>
      <w:r>
        <w:rPr>
          <w:b w:val="0"/>
          <w:i w:val="0"/>
          <w:sz w:val="20"/>
          <w:rFonts w:ascii="맑은 고딕" w:hAnsi="맑은 고딕" w:eastAsia="맑은 고딕"/>
        </w:rPr>
        <w:t>시사점</w:t>
      </w:r>
      <w:r>
        <w:rPr>
          <w:b/>
          <w:i w:val="0"/>
          <w:sz w:val="20"/>
          <w:rFonts w:ascii="맑은 고딕" w:hAnsi="맑은 고딕" w:eastAsia="맑은 고딕"/>
        </w:rPr>
        <w:t>: 대한민국 공공도서관의 외형적 성장에도 불구하고, 글로벌 기준과 대조 시 상대적인 인프라 부족과 사서 1인당 부담해야 하는 인구의 조밀함이 작용하고 있어 장기적인 인력 확보 로드맵 수립이 검토되어야 합니다.</w:t>
      </w:r>
    </w:p>
    <w:p>
      <w:pPr>
        <w:keepNext/>
        <w:spacing w:before="280" w:after="120"/>
      </w:pPr>
      <w:r>
        <w:rPr>
          <w:b/>
          <w:i w:val="0"/>
          <w:color w:val="2F5597"/>
          <w:sz w:val="30"/>
          <w:rFonts w:ascii="맑은 고딕" w:hAnsi="맑은 고딕" w:eastAsia="맑은 고딕"/>
        </w:rPr>
        <w:t>8. 2024년 기준 사서 1인당 업무 부하 지표 (현장의 실제 업무 부담)</w:t>
      </w:r>
    </w:p>
    <w:p>
      <w:pPr>
        <w:spacing w:before="0" w:after="120" w:line="276" w:lineRule="auto"/>
      </w:pPr>
      <w:r>
        <w:rPr>
          <w:b w:val="0"/>
          <w:i w:val="0"/>
          <w:sz w:val="20"/>
          <w:rFonts w:ascii="맑은 고딕" w:hAnsi="맑은 고딕" w:eastAsia="맑은 고딕"/>
        </w:rPr>
        <w:t>사서 확보 비율의 양극화는 공공도서관 현장 사서들이 담당하는 실제 노동 강도와 부하의 불균형으로 직결됩니다.</w:t>
      </w:r>
    </w:p>
    <w:p>
      <w:pPr>
        <w:keepNext/>
        <w:spacing w:before="280" w:after="120"/>
      </w:pPr>
      <w:r>
        <w:rPr>
          <w:b/>
          <w:i w:val="0"/>
          <w:color w:val="5B9BD5"/>
          <w:sz w:val="24"/>
          <w:rFonts w:ascii="맑은 고딕" w:hAnsi="맑은 고딕" w:eastAsia="맑은 고딕"/>
        </w:rPr>
        <w:t>사서 1인당 업무 부하 매트릭스</w:t>
      </w:r>
    </w:p>
    <w:p>
      <w:pPr>
        <w:jc w:val="center"/>
      </w:pPr>
      <w:r>
        <w:drawing>
          <wp:inline xmlns:a="http://schemas.openxmlformats.org/drawingml/2006/main" xmlns:pic="http://schemas.openxmlformats.org/drawingml/2006/picture">
            <wp:extent cx="5303520" cy="3156171"/>
            <wp:docPr id="5" name="Picture 5"/>
            <wp:cNvGraphicFramePr>
              <a:graphicFrameLocks noChangeAspect="1"/>
            </wp:cNvGraphicFramePr>
            <a:graphic>
              <a:graphicData uri="http://schemas.openxmlformats.org/drawingml/2006/picture">
                <pic:pic>
                  <pic:nvPicPr>
                    <pic:cNvPr id="0" name="workload_analysis.png"/>
                    <pic:cNvPicPr/>
                  </pic:nvPicPr>
                  <pic:blipFill>
                    <a:blip r:embed="rId14"/>
                    <a:stretch>
                      <a:fillRect/>
                    </a:stretch>
                  </pic:blipFill>
                  <pic:spPr>
                    <a:xfrm>
                      <a:off x="0" y="0"/>
                      <a:ext cx="5303520" cy="3156171"/>
                    </a:xfrm>
                    <a:prstGeom prst="rect"/>
                  </pic:spPr>
                </pic:pic>
              </a:graphicData>
            </a:graphic>
          </wp:inline>
        </w:drawing>
      </w:r>
    </w:p>
    <w:p>
      <w:pPr>
        <w:spacing w:after="240"/>
        <w:jc w:val="center"/>
      </w:pPr>
      <w:r>
        <w:rPr>
          <w:b w:val="0"/>
          <w:i/>
          <w:sz w:val="19"/>
          <w:rFonts w:ascii="맑은 고딕" w:hAnsi="맑은 고딕" w:eastAsia="맑은 고딕"/>
        </w:rPr>
        <w:t>그림. 2024년 시도별 사서 1인당 장서 관리 부담 vs 대출 업무량 관계도</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60"/>
        <w:gridCol w:w="1560"/>
        <w:gridCol w:w="1560"/>
        <w:gridCol w:w="1560"/>
        <w:gridCol w:w="1560"/>
        <w:gridCol w:w="1560"/>
      </w:tblGrid>
      <w:tr>
        <w:trPr>
          <w:cantSplit/>
          <w:tblHeader/>
        </w:trPr>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지역</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수 (명)</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1명당 담당 인구</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1인당 소장 도서 수 (권)</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1인당 연간 방문자 수 (명)</w:t>
            </w:r>
          </w:p>
        </w:tc>
        <w:tc>
          <w:tcPr>
            <w:tcW w:type="dxa" w:w="1560"/>
            <w:vAlign w:val="center"/>
            <w:tcMar>
              <w:top w:w="120" w:type="dxa"/>
              <w:bottom w:w="120" w:type="dxa"/>
              <w:left w:w="150" w:type="dxa"/>
              <w:right w:w="150" w:type="dxa"/>
            </w:tcMar>
            <w:shd w:fill="1F4E79"/>
          </w:tcPr>
          <w:p>
            <w:pPr>
              <w:jc w:val="center"/>
            </w:pPr>
            <w:r>
              <w:rPr>
                <w:b/>
                <w:i w:val="0"/>
                <w:color w:val="FFFFFF"/>
                <w:sz w:val="20"/>
                <w:rFonts w:ascii="맑은 고딕" w:hAnsi="맑은 고딕" w:eastAsia="맑은 고딕"/>
              </w:rPr>
              <w:t>사서 1인당 연간 대출 건수 (건)</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대전</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181</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7,951.1명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17,520.7권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31,022.7명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22,730.5건</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세종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97</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4,027.7명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10,126.2권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15,963.9명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22,201.8건</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경기</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2,168</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6,316.7명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16,242.1권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30,745.7명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22,028.1건</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울산</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143</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7,678.7명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14,858.7권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34,092.2명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20,206.0건</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대구</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372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6,353.8명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14,195.4권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24,063.2명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19,187.8건</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충남</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300</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7,121.9명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21,282.0권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22,952.2명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18,489.5건</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제주</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141</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4,754.4명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18,041.3권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17,021.7명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17,877.9건</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광주</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195</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7,222.7명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15,357.6권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30,212.7명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17,479.7건</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충북</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233</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6,829.1명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19,286.0권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19,685.0명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17,410.7건</w:t>
            </w:r>
          </w:p>
        </w:tc>
      </w:tr>
      <w:tr>
        <w:trPr>
          <w:cantSplit/>
        </w:trPr>
        <w:tc>
          <w:tcPr>
            <w:tcW w:type="dxa" w:w="1560"/>
            <w:vAlign w:val="center"/>
            <w:tcMar>
              <w:top w:w="120" w:type="dxa"/>
              <w:bottom w:w="120" w:type="dxa"/>
              <w:left w:w="150" w:type="dxa"/>
              <w:right w:w="150" w:type="dxa"/>
            </w:tcMar>
            <w:shd w:fill="F9FBFD"/>
          </w:tcPr>
          <w:p>
            <w:pPr>
              <w:jc w:val="center"/>
            </w:pPr>
            <w:r>
              <w:rPr>
                <w:b/>
                <w:i w:val="0"/>
                <w:sz w:val="19"/>
                <w:rFonts w:ascii="맑은 고딕" w:hAnsi="맑은 고딕" w:eastAsia="맑은 고딕"/>
              </w:rPr>
              <w:t>전국</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8,768</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5,849.0명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14,186.2권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25,571.2명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16,736.1건</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경북</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372</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6,804.8명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18,051.8권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23,745.4명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15,157.4건</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경남</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617</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5,232.4명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13,585.8권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22,403.2명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15,017.5건</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부산</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559</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5,843.6명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12,419.2권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19,766.8명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14,806.3건</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인천</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432</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6,993.1명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12,158.5권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24,376.2명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13,981.9건</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강원</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265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5,727.4명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19,232.7권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26,073.7명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13,076.8건</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전남</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311</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5,751.8명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22,646.2권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25,294.3명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12,948.1건</w:t>
            </w:r>
          </w:p>
        </w:tc>
      </w:tr>
      <w:tr>
        <w:trPr>
          <w:cantSplit/>
        </w:trPr>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서울</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2,085</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4,475.7명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7,931.9권</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25,060.0명</w:t>
            </w:r>
          </w:p>
        </w:tc>
        <w:tc>
          <w:tcPr>
            <w:tcW w:type="dxa" w:w="1560"/>
            <w:vAlign w:val="center"/>
            <w:tcMar>
              <w:top w:w="120" w:type="dxa"/>
              <w:bottom w:w="120" w:type="dxa"/>
              <w:left w:w="150" w:type="dxa"/>
              <w:right w:w="150" w:type="dxa"/>
            </w:tcMar>
            <w:shd w:fill="FFFFFF"/>
          </w:tcPr>
          <w:p>
            <w:pPr>
              <w:jc w:val="center"/>
            </w:pPr>
            <w:r>
              <w:rPr>
                <w:b w:val="0"/>
                <w:i w:val="0"/>
                <w:sz w:val="19"/>
                <w:rFonts w:ascii="맑은 고딕" w:hAnsi="맑은 고딕" w:eastAsia="맑은 고딕"/>
              </w:rPr>
              <w:t>12,892.8건</w:t>
            </w:r>
          </w:p>
        </w:tc>
      </w:tr>
      <w:tr>
        <w:trPr>
          <w:cantSplit/>
        </w:trPr>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전북</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297</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5,854.2명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17,596.5권</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18,635.8명</w:t>
            </w:r>
          </w:p>
        </w:tc>
        <w:tc>
          <w:tcPr>
            <w:tcW w:type="dxa" w:w="1560"/>
            <w:vAlign w:val="center"/>
            <w:tcMar>
              <w:top w:w="120" w:type="dxa"/>
              <w:bottom w:w="120" w:type="dxa"/>
              <w:left w:w="150" w:type="dxa"/>
              <w:right w:w="150" w:type="dxa"/>
            </w:tcMar>
            <w:shd w:fill="F9FBFD"/>
          </w:tcPr>
          <w:p>
            <w:pPr>
              <w:jc w:val="center"/>
            </w:pPr>
            <w:r>
              <w:rPr>
                <w:b w:val="0"/>
                <w:i w:val="0"/>
                <w:sz w:val="19"/>
                <w:rFonts w:ascii="맑은 고딕" w:hAnsi="맑은 고딕" w:eastAsia="맑은 고딕"/>
              </w:rPr>
              <w:t>11,994.5건</w:t>
            </w:r>
          </w:p>
        </w:tc>
      </w:tr>
    </w:tbl>
    <w:p/>
    <w:tbl>
      <w:tblPr>
        <w:tblW w:type="auto" w:w="0"/>
        <w:jc w:val="center"/>
        <w:tblLook w:firstColumn="1" w:firstRow="1" w:lastColumn="0" w:lastRow="0" w:noHBand="0" w:noVBand="1" w:val="04A0"/>
      </w:tblPr>
      <w:tblGrid>
        <w:gridCol w:w="9360"/>
      </w:tblGrid>
      <w:tr>
        <w:tc>
          <w:tcPr>
            <w:tcW w:type="dxa" w:w="9360"/>
            <w:shd w:fill="F2F7FA"/>
            <w:tcBorders>
              <w:top w:val="none"/>
              <w:left w:val="single" w:sz="36" w:space="0" w:color="2F5597"/>
              <w:bottom w:val="none"/>
              <w:right w:val="none"/>
            </w:tcBorders>
            <w:tcMar>
              <w:top w:w="140" w:type="dxa"/>
              <w:bottom w:w="140" w:type="dxa"/>
              <w:left w:w="180" w:type="dxa"/>
              <w:right w:w="180" w:type="dxa"/>
            </w:tcMar>
          </w:tcPr>
          <w:p>
            <w:pPr>
              <w:spacing w:before="40" w:after="40" w:line="276" w:lineRule="auto"/>
              <w:ind w:left="360"/>
            </w:pPr>
            <w:r>
              <w:rPr>
                <w:b w:val="0"/>
                <w:i w:val="0"/>
                <w:color w:val="1F4E79"/>
                <w:sz w:val="20"/>
                <w:rFonts w:ascii="맑은 고딕" w:hAnsi="맑은 고딕" w:eastAsia="맑은 고딕"/>
              </w:rPr>
              <w:t xml:space="preserve">•  </w:t>
            </w:r>
            <w:r>
              <w:rPr>
                <w:b w:val="0"/>
                <w:i w:val="0"/>
                <w:color w:val="1F4E79"/>
                <w:sz w:val="20"/>
                <w:rFonts w:ascii="맑은 고딕" w:hAnsi="맑은 고딕" w:eastAsia="맑은 고딕"/>
              </w:rPr>
              <w:t>사서 1인당 담당 인구 및 소장 도서 수</w:t>
            </w:r>
            <w:r>
              <w:rPr>
                <w:b/>
                <w:i w:val="0"/>
                <w:color w:val="1F4E79"/>
                <w:sz w:val="20"/>
                <w:rFonts w:ascii="맑은 고딕" w:hAnsi="맑은 고딕" w:eastAsia="맑은 고딕"/>
              </w:rPr>
              <w:t xml:space="preserve">는 2024년 말 시점 기준의 </w:t>
            </w:r>
            <w:r>
              <w:rPr>
                <w:b w:val="0"/>
                <w:i w:val="0"/>
                <w:color w:val="1F4E79"/>
                <w:sz w:val="20"/>
                <w:rFonts w:ascii="맑은 고딕" w:hAnsi="맑은 고딕" w:eastAsia="맑은 고딕"/>
              </w:rPr>
              <w:t>정적(Snapshot) 지표</w:t>
            </w:r>
            <w:r>
              <w:rPr>
                <w:b/>
                <w:i w:val="0"/>
                <w:color w:val="1F4E79"/>
                <w:sz w:val="20"/>
                <w:rFonts w:ascii="맑은 고딕" w:hAnsi="맑은 고딕" w:eastAsia="맑은 고딕"/>
              </w:rPr>
              <w:t>입니다.</w:t>
            </w:r>
          </w:p>
          <w:p>
            <w:pPr>
              <w:spacing w:before="40" w:after="40" w:line="276" w:lineRule="auto"/>
              <w:ind w:left="360"/>
            </w:pPr>
            <w:r>
              <w:rPr>
                <w:b w:val="0"/>
                <w:i w:val="0"/>
                <w:color w:val="1F4E79"/>
                <w:sz w:val="20"/>
                <w:rFonts w:ascii="맑은 고딕" w:hAnsi="맑은 고딕" w:eastAsia="맑은 고딕"/>
              </w:rPr>
              <w:t xml:space="preserve">•  </w:t>
            </w:r>
            <w:r>
              <w:rPr>
                <w:b w:val="0"/>
                <w:i w:val="0"/>
                <w:color w:val="1F4E79"/>
                <w:sz w:val="20"/>
                <w:rFonts w:ascii="맑은 고딕" w:hAnsi="맑은 고딕" w:eastAsia="맑은 고딕"/>
              </w:rPr>
              <w:t>연간 방문자 수 및 연간 대출 건수</w:t>
            </w:r>
            <w:r>
              <w:rPr>
                <w:b/>
                <w:i w:val="0"/>
                <w:color w:val="1F4E79"/>
                <w:sz w:val="20"/>
                <w:rFonts w:ascii="맑은 고딕" w:hAnsi="맑은 고딕" w:eastAsia="맑은 고딕"/>
              </w:rPr>
              <w:t xml:space="preserve">는 2024년 1년 동안 누계 집계된 </w:t>
            </w:r>
            <w:r>
              <w:rPr>
                <w:b w:val="0"/>
                <w:i w:val="0"/>
                <w:color w:val="1F4E79"/>
                <w:sz w:val="20"/>
                <w:rFonts w:ascii="맑은 고딕" w:hAnsi="맑은 고딕" w:eastAsia="맑은 고딕"/>
              </w:rPr>
              <w:t>기간 누적(Flow) 지표</w:t>
            </w:r>
            <w:r>
              <w:rPr>
                <w:b/>
                <w:i w:val="0"/>
                <w:color w:val="1F4E79"/>
                <w:sz w:val="20"/>
                <w:rFonts w:ascii="맑은 고딕" w:hAnsi="맑은 고딕" w:eastAsia="맑은 고딕"/>
              </w:rPr>
              <w:t>입니다.</w:t>
            </w:r>
          </w:p>
        </w:tc>
      </w:tr>
    </w:tbl>
    <w:p/>
    <w:p>
      <w:pPr>
        <w:keepNext/>
        <w:spacing w:before="280" w:after="120"/>
      </w:pPr>
      <w:r>
        <w:rPr>
          <w:b/>
          <w:i w:val="0"/>
          <w:color w:val="5B9BD5"/>
          <w:sz w:val="24"/>
          <w:rFonts w:ascii="맑은 고딕" w:hAnsi="맑은 고딕" w:eastAsia="맑은 고딕"/>
        </w:rPr>
        <w:t>서비스 제공형 vs 장서 관리형 업무 부담 분류</w:t>
      </w:r>
    </w:p>
    <w:p>
      <w:pPr>
        <w:pStyle w:val="ListBullet"/>
        <w:spacing w:before="0" w:after="80" w:line="276" w:lineRule="auto"/>
      </w:pPr>
      <w:r>
        <w:rPr>
          <w:b w:val="0"/>
          <w:i w:val="0"/>
          <w:sz w:val="20"/>
          <w:rFonts w:ascii="맑은 고딕" w:hAnsi="맑은 고딕" w:eastAsia="맑은 고딕"/>
        </w:rPr>
        <w:t>서비스 제공형 부담 (대출 및 대면 응대)</w:t>
      </w:r>
      <w:r>
        <w:rPr>
          <w:b/>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대전, 세종, 경기, 울산 지역은 사서 1인당 연간 대출 건수가 2만 건을 초과하여 대민 서비스 부하가 상대적으로 높습니다.</w:t>
      </w:r>
    </w:p>
    <w:p>
      <w:pPr>
        <w:pStyle w:val="ListBullet"/>
        <w:spacing w:before="0" w:after="80" w:line="276" w:lineRule="auto"/>
      </w:pPr>
      <w:r>
        <w:rPr>
          <w:b w:val="0"/>
          <w:i w:val="0"/>
          <w:sz w:val="20"/>
          <w:rFonts w:ascii="맑은 고딕" w:hAnsi="맑은 고딕" w:eastAsia="맑은 고딕"/>
        </w:rPr>
        <w:t>특히 울산(34,092명)과 대전(31,023명)은 사서 1인당 연간 대면 방문객 수가 3만 명을 초과하여 대면 서비스 빈도가 빈번한 편입니다.</w:t>
      </w:r>
    </w:p>
    <w:p>
      <w:pPr>
        <w:pStyle w:val="ListBullet"/>
        <w:spacing w:before="0" w:after="80" w:line="276" w:lineRule="auto"/>
      </w:pPr>
      <w:r>
        <w:rPr>
          <w:b w:val="0"/>
          <w:i w:val="0"/>
          <w:sz w:val="20"/>
          <w:rFonts w:ascii="맑은 고딕" w:hAnsi="맑은 고딕" w:eastAsia="맑은 고딕"/>
        </w:rPr>
        <w:t>장서 관리형 부담 (분류, 정리, 물리적 보관)</w:t>
      </w:r>
      <w:r>
        <w:rPr>
          <w:b/>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전남(22,646권), 충남(21,282권), 충북(19,286권) 등은 사서 1인당 보유하는 장서량이 2만 권을 상회하여 전국 평균(14,186권)보다 높은 수준을 보여줍니다. 사서율이 낮은 지방 도 단위 사서들은 장서 관리 부담(신간 정리, 훼손 도서 보수 등)의 비중이 큽니다.</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36" w:space="0" w:color="2F5597"/>
              <w:bottom w:val="none"/>
              <w:right w:val="none"/>
            </w:tcBorders>
            <w:tcMar>
              <w:top w:w="140" w:type="dxa"/>
              <w:bottom w:w="140" w:type="dxa"/>
              <w:left w:w="180" w:type="dxa"/>
              <w:right w:w="180" w:type="dxa"/>
            </w:tcMar>
          </w:tcPr>
          <w:p>
            <w:pPr>
              <w:spacing w:before="40" w:after="40" w:line="276" w:lineRule="auto"/>
            </w:pPr>
            <w:r>
              <w:rPr>
                <w:b/>
                <w:i w:val="0"/>
                <w:color w:val="1F4E79"/>
                <w:sz w:val="20"/>
                <w:rFonts w:ascii="맑은 고딕" w:hAnsi="맑은 고딕" w:eastAsia="맑은 고딕"/>
              </w:rPr>
              <w:t>특정 지자체 업무 부하 특이치(아웃라이어)에 대한 입체적 해석</w:t>
            </w:r>
          </w:p>
          <w:p>
            <w:pPr>
              <w:spacing w:before="40" w:after="40" w:line="276" w:lineRule="auto"/>
            </w:pPr>
            <w:r>
              <w:rPr>
                <w:b w:val="0"/>
                <w:i w:val="0"/>
                <w:color w:val="1F4E79"/>
                <w:sz w:val="20"/>
                <w:rFonts w:ascii="맑은 고딕" w:hAnsi="맑은 고딕" w:eastAsia="맑은 고딕"/>
              </w:rPr>
              <w:t xml:space="preserve">1. </w:t>
            </w:r>
            <w:r>
              <w:rPr>
                <w:b/>
                <w:i w:val="0"/>
                <w:color w:val="1F4E79"/>
                <w:sz w:val="20"/>
                <w:rFonts w:ascii="맑은 고딕" w:hAnsi="맑은 고딕" w:eastAsia="맑은 고딕"/>
              </w:rPr>
              <w:t>대전광역시 사서 1인당 연간 대출량 전국 1위 (22,730건)</w:t>
            </w:r>
            <w:r>
              <w:rPr>
                <w:b w:val="0"/>
                <w:i w:val="0"/>
                <w:color w:val="1F4E79"/>
                <w:sz w:val="20"/>
                <w:rFonts w:ascii="맑은 고딕" w:hAnsi="맑은 고딕" w:eastAsia="맑은 고딕"/>
              </w:rPr>
              <w:t>:</w:t>
            </w:r>
          </w:p>
        </w:tc>
      </w:tr>
    </w:tbl>
    <w:p/>
    <w:p>
      <w:pPr>
        <w:pStyle w:val="ListBullet"/>
        <w:spacing w:before="0" w:after="80" w:line="276" w:lineRule="auto"/>
      </w:pPr>
      <w:r>
        <w:rPr>
          <w:b w:val="0"/>
          <w:i w:val="0"/>
          <w:sz w:val="20"/>
          <w:rFonts w:ascii="맑은 고딕" w:hAnsi="맑은 고딕" w:eastAsia="맑은 고딕"/>
        </w:rPr>
        <w:t>대전은 특별히 도서관 수(26개관) 대비 사서 확보율(45.76%)이 준수한 수준임에도 사서 1인당 대출량이 비정상적으로 높게 산출됩니다.</w:t>
      </w:r>
    </w:p>
    <w:p>
      <w:pPr>
        <w:pStyle w:val="ListBullet"/>
        <w:spacing w:before="0" w:after="80" w:line="276" w:lineRule="auto"/>
      </w:pPr>
      <w:r>
        <w:rPr>
          <w:b w:val="0"/>
          <w:i w:val="0"/>
          <w:sz w:val="20"/>
          <w:rFonts w:ascii="맑은 고딕" w:hAnsi="맑은 고딕" w:eastAsia="맑은 고딕"/>
        </w:rPr>
        <w:t>이는 대전시가 시 전역의 도서관을 하나로 묶는 상호대차 서비스('상생 공동 대출망') 및 모바일 도서관 인프라를 타 광역 지자체 대비 선제적으로 고도화했기 때문입니다. 즉, 시민들의 도서 대출 접근 장벽이 매우 낮아 순수 이용 실적과 활성화 수준이 극도로 팽창한 긍정적 형태의 '실적 과부하'로 분류할 수 있습니다.</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36" w:space="0" w:color="2F5597"/>
              <w:bottom w:val="none"/>
              <w:right w:val="none"/>
            </w:tcBorders>
            <w:tcMar>
              <w:top w:w="140" w:type="dxa"/>
              <w:bottom w:w="140" w:type="dxa"/>
              <w:left w:w="180" w:type="dxa"/>
              <w:right w:w="180" w:type="dxa"/>
            </w:tcMar>
          </w:tcPr>
          <w:p>
            <w:pPr>
              <w:spacing w:before="40" w:after="40" w:line="276" w:lineRule="auto"/>
            </w:pPr>
            <w:r>
              <w:rPr>
                <w:b w:val="0"/>
                <w:i w:val="0"/>
                <w:color w:val="1F4E79"/>
                <w:sz w:val="20"/>
                <w:rFonts w:ascii="맑은 고딕" w:hAnsi="맑은 고딕" w:eastAsia="맑은 고딕"/>
              </w:rPr>
              <w:t xml:space="preserve">2. </w:t>
            </w:r>
            <w:r>
              <w:rPr>
                <w:b/>
                <w:i w:val="0"/>
                <w:color w:val="1F4E79"/>
                <w:sz w:val="20"/>
                <w:rFonts w:ascii="맑은 고딕" w:hAnsi="맑은 고딕" w:eastAsia="맑은 고딕"/>
              </w:rPr>
              <w:t>울산광역시 사서 1인당 대면 방문객 전국 1위 (34,092명)</w:t>
            </w:r>
            <w:r>
              <w:rPr>
                <w:b w:val="0"/>
                <w:i w:val="0"/>
                <w:color w:val="1F4E79"/>
                <w:sz w:val="20"/>
                <w:rFonts w:ascii="맑은 고딕" w:hAnsi="맑은 고딕" w:eastAsia="맑은 고딕"/>
              </w:rPr>
              <w:t>:</w:t>
            </w:r>
          </w:p>
        </w:tc>
      </w:tr>
    </w:tbl>
    <w:p/>
    <w:p>
      <w:pPr>
        <w:pStyle w:val="ListBullet"/>
        <w:spacing w:before="0" w:after="80" w:line="276" w:lineRule="auto"/>
      </w:pPr>
      <w:r>
        <w:rPr>
          <w:b w:val="0"/>
          <w:i w:val="0"/>
          <w:sz w:val="20"/>
          <w:rFonts w:ascii="맑은 고딕" w:hAnsi="맑은 고딕" w:eastAsia="맑은 고딕"/>
        </w:rPr>
        <w:t>울산은 인근 부산(19,767명)이나 경남(22,403명)과 비교해도 1인당 대면 안내 업무 강도가 이상할 정도로 높게 형성되어 있습니다.</w:t>
      </w:r>
    </w:p>
    <w:p>
      <w:pPr>
        <w:pStyle w:val="ListBullet"/>
        <w:spacing w:before="0" w:after="80" w:line="276" w:lineRule="auto"/>
      </w:pPr>
      <w:r>
        <w:rPr>
          <w:b w:val="0"/>
          <w:i w:val="0"/>
          <w:sz w:val="20"/>
          <w:rFonts w:ascii="맑은 고딕" w:hAnsi="맑은 고딕" w:eastAsia="맑은 고딕"/>
        </w:rPr>
        <w:t>이는 울산의 인프라 결핍 현상에 기인합니다. 울산은 인구 110만 명 규모의 광역시이나 도서관 수가 단 21개관으로, 인구 규모가 유사한 광주(30개관), 대전(26개관)보다도 크게 부족합니다. 이로 인해 소수의 도서관에 방문 시민들이 초밀집하게 되고, 사서 수가 절대적으로 적어 사서 1인당 대면 서비스 로드가 왜곡될 수준으로 쏠리는 현상입니다.</w:t>
      </w:r>
    </w:p>
    <w:tbl>
      <w:tblPr>
        <w:tblW w:type="auto" w:w="0"/>
        <w:jc w:val="center"/>
        <w:tblLook w:firstColumn="1" w:firstRow="1" w:lastColumn="0" w:lastRow="0" w:noHBand="0" w:noVBand="1" w:val="04A0"/>
      </w:tblPr>
      <w:tblGrid>
        <w:gridCol w:w="9360"/>
      </w:tblGrid>
      <w:tr>
        <w:tc>
          <w:tcPr>
            <w:tcW w:type="dxa" w:w="9360"/>
            <w:shd w:fill="F2F7FA"/>
            <w:tcBorders>
              <w:top w:val="none"/>
              <w:left w:val="single" w:sz="36" w:space="0" w:color="2F5597"/>
              <w:bottom w:val="none"/>
              <w:right w:val="none"/>
            </w:tcBorders>
            <w:tcMar>
              <w:top w:w="140" w:type="dxa"/>
              <w:bottom w:w="140" w:type="dxa"/>
              <w:left w:w="180" w:type="dxa"/>
              <w:right w:w="180" w:type="dxa"/>
            </w:tcMar>
          </w:tcPr>
          <w:p>
            <w:pPr>
              <w:spacing w:before="40" w:after="40" w:line="276" w:lineRule="auto"/>
            </w:pPr>
            <w:r>
              <w:rPr>
                <w:b w:val="0"/>
                <w:i w:val="0"/>
                <w:color w:val="1F4E79"/>
                <w:sz w:val="20"/>
                <w:rFonts w:ascii="맑은 고딕" w:hAnsi="맑은 고딕" w:eastAsia="맑은 고딕"/>
              </w:rPr>
              <w:t xml:space="preserve">3. </w:t>
            </w:r>
            <w:r>
              <w:rPr>
                <w:b/>
                <w:i w:val="0"/>
                <w:color w:val="1F4E79"/>
                <w:sz w:val="20"/>
                <w:rFonts w:ascii="맑은 고딕" w:hAnsi="맑은 고딕" w:eastAsia="맑은 고딕"/>
              </w:rPr>
              <w:t>전라남도 사서 1인당 소장 장서량 전국 1위 (22,646권)</w:t>
            </w:r>
            <w:r>
              <w:rPr>
                <w:b w:val="0"/>
                <w:i w:val="0"/>
                <w:color w:val="1F4E79"/>
                <w:sz w:val="20"/>
                <w:rFonts w:ascii="맑은 고딕" w:hAnsi="맑은 고딕" w:eastAsia="맑은 고딕"/>
              </w:rPr>
              <w:t>:</w:t>
            </w:r>
          </w:p>
        </w:tc>
      </w:tr>
    </w:tbl>
    <w:p/>
    <w:p>
      <w:pPr>
        <w:pStyle w:val="ListBullet"/>
        <w:spacing w:before="0" w:after="80" w:line="276" w:lineRule="auto"/>
      </w:pPr>
      <w:r>
        <w:rPr>
          <w:b w:val="0"/>
          <w:i w:val="0"/>
          <w:sz w:val="20"/>
          <w:rFonts w:ascii="맑은 고딕" w:hAnsi="맑은 고딕" w:eastAsia="맑은 고딕"/>
        </w:rPr>
        <w:t>전남의 사서 1인당 소장 도서 수는 대도시인 서울(7,932권)의 3배에 달하여 압도적인 물리적 노동 강도를 나타냅니다.</w:t>
      </w:r>
    </w:p>
    <w:p>
      <w:pPr>
        <w:pStyle w:val="ListBullet"/>
        <w:spacing w:before="0" w:after="80" w:line="276" w:lineRule="auto"/>
      </w:pPr>
      <w:r>
        <w:rPr>
          <w:b w:val="0"/>
          <w:i w:val="0"/>
          <w:sz w:val="20"/>
          <w:rFonts w:ascii="맑은 고딕" w:hAnsi="맑은 고딕" w:eastAsia="맑은 고딕"/>
        </w:rPr>
        <w:t>이는 '인력 정체와 누적 장서의 부조화'가 낳은 행정적 결함입니다. 전남은 사서 확보율이 전국 최하위(32.88%)로 신규 충원이 정체되어 있는 반면, 넓은 행정구역에 걸쳐 오랜 기간 77개 도서관을 운영해 왔습니다. 매년 축적되어 쌓이는 물리적 도서 재고는 지속 증가하지만 이를 보관 및 분류·수선할 전문 인력이 극히 부족해, 폐기되지 않은 도서 재고의 물리적 관리 의무가 소수의 사서에게 비정상적으로 과적되는 행정 정체 현상을 띄고 있습니다.</w:t>
      </w:r>
    </w:p>
    <w:p>
      <w:pPr>
        <w:keepNext/>
        <w:spacing w:before="280" w:after="120"/>
      </w:pPr>
      <w:r>
        <w:rPr>
          <w:b/>
          <w:i w:val="0"/>
          <w:color w:val="2F5597"/>
          <w:sz w:val="30"/>
          <w:rFonts w:ascii="맑은 고딕" w:hAnsi="맑은 고딕" w:eastAsia="맑은 고딕"/>
        </w:rPr>
        <w:t>9. 종합 시사점 및 제언</w:t>
      </w:r>
    </w:p>
    <w:p>
      <w:pPr>
        <w:spacing w:before="0" w:after="120" w:line="276" w:lineRule="auto"/>
      </w:pPr>
      <w:r>
        <w:rPr>
          <w:b w:val="0"/>
          <w:i w:val="0"/>
          <w:sz w:val="20"/>
          <w:rFonts w:ascii="맑은 고딕" w:hAnsi="맑은 고딕" w:eastAsia="맑은 고딕"/>
        </w:rPr>
        <w:t xml:space="preserve">1. </w:t>
      </w:r>
      <w:r>
        <w:rPr>
          <w:b/>
          <w:i w:val="0"/>
          <w:sz w:val="20"/>
          <w:rFonts w:ascii="맑은 고딕" w:hAnsi="맑은 고딕" w:eastAsia="맑은 고딕"/>
        </w:rPr>
        <w:t>지자체 도서관 평가 시 '정규 사서 배치율' 연계 가이드라인 강화</w:t>
      </w:r>
      <w:r>
        <w:rPr>
          <w:b w:val="0"/>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현행 도서관법에 규정된 사서 배치 기준의 이행력을 높이기 위해, 지자체 합동평가 지표에 '법정 사서 배치 충족률'의 연계 강화를 검토해야 합니다. 특히 10년간 확보율이 상대적으로 정체된 경북, 전남, 충북 등의 지자체에 적극적인 확보 방안이 요구됩니다.</w:t>
      </w:r>
    </w:p>
    <w:p>
      <w:pPr>
        <w:spacing w:before="0" w:after="120" w:line="276" w:lineRule="auto"/>
      </w:pPr>
      <w:r>
        <w:rPr>
          <w:b w:val="0"/>
          <w:i w:val="0"/>
          <w:sz w:val="20"/>
          <w:rFonts w:ascii="맑은 고딕" w:hAnsi="맑은 고딕" w:eastAsia="맑은 고딕"/>
        </w:rPr>
        <w:t xml:space="preserve">2. </w:t>
      </w:r>
      <w:r>
        <w:rPr>
          <w:b/>
          <w:i w:val="0"/>
          <w:sz w:val="20"/>
          <w:rFonts w:ascii="맑은 고딕" w:hAnsi="맑은 고딕" w:eastAsia="맑은 고딕"/>
        </w:rPr>
        <w:t>사서 1인당 예산 관리 업무가 높은 지자체의 행정 인력 지원</w:t>
      </w:r>
      <w:r>
        <w:rPr>
          <w:b w:val="0"/>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사서 1인당 예산 행정 부담이 2.5억 원을 상회하는 지방 지자체의 경우, 사서들이 정보 서비스 기획에 집중할 수 있도록 회계 및 일반 행정 처리를 지원할 실무 지원 인력의 충원이 유용할 것입니다.</w:t>
      </w:r>
    </w:p>
    <w:p>
      <w:pPr>
        <w:spacing w:before="0" w:after="120" w:line="276" w:lineRule="auto"/>
      </w:pPr>
      <w:r>
        <w:rPr>
          <w:b w:val="0"/>
          <w:i w:val="0"/>
          <w:sz w:val="20"/>
          <w:rFonts w:ascii="맑은 고딕" w:hAnsi="맑은 고딕" w:eastAsia="맑은 고딕"/>
        </w:rPr>
        <w:t xml:space="preserve">3. </w:t>
      </w:r>
      <w:r>
        <w:rPr>
          <w:b/>
          <w:i w:val="0"/>
          <w:sz w:val="20"/>
          <w:rFonts w:ascii="맑은 고딕" w:hAnsi="맑은 고딕" w:eastAsia="맑은 고딕"/>
        </w:rPr>
        <w:t>업무 특성에 따른 인프라 및 자동화 설계</w:t>
      </w:r>
      <w:r>
        <w:rPr>
          <w:b w:val="0"/>
          <w:i w:val="0"/>
          <w:sz w:val="20"/>
          <w:rFonts w:ascii="맑은 고딕" w:hAnsi="맑은 고딕" w:eastAsia="맑은 고딕"/>
        </w:rPr>
        <w:t>:</w:t>
      </w:r>
    </w:p>
    <w:p>
      <w:pPr>
        <w:pStyle w:val="ListBullet"/>
        <w:spacing w:before="0" w:after="80" w:line="276" w:lineRule="auto"/>
      </w:pPr>
      <w:r>
        <w:rPr>
          <w:b w:val="0"/>
          <w:i w:val="0"/>
          <w:sz w:val="20"/>
          <w:rFonts w:ascii="맑은 고딕" w:hAnsi="맑은 고딕" w:eastAsia="맑은 고딕"/>
        </w:rPr>
        <w:t>대민 및 대출 비중이 높은 대도시(대전, 경기 등)</w:t>
      </w:r>
      <w:r>
        <w:rPr>
          <w:b/>
          <w:i w:val="0"/>
          <w:sz w:val="20"/>
          <w:rFonts w:ascii="맑은 고딕" w:hAnsi="맑은 고딕" w:eastAsia="맑은 고딕"/>
        </w:rPr>
        <w:t>: 무인 대출반납기 및 스마트 도서관 기기를 확충하여 단순 창구 업무를 조속히 자동화해야 합니다.</w:t>
      </w:r>
    </w:p>
    <w:p>
      <w:pPr>
        <w:pStyle w:val="ListBullet"/>
        <w:spacing w:before="0" w:after="80" w:line="276" w:lineRule="auto"/>
      </w:pPr>
      <w:r>
        <w:rPr>
          <w:b w:val="0"/>
          <w:i w:val="0"/>
          <w:sz w:val="20"/>
          <w:rFonts w:ascii="맑은 고딕" w:hAnsi="맑은 고딕" w:eastAsia="맑은 고딕"/>
        </w:rPr>
        <w:t>장서 관리 비중이 높은 도 단위 지역(전남, 충남 등)</w:t>
      </w:r>
      <w:r>
        <w:rPr>
          <w:b/>
          <w:i w:val="0"/>
          <w:sz w:val="20"/>
          <w:rFonts w:ascii="맑은 고딕" w:hAnsi="맑은 고딕" w:eastAsia="맑은 고딕"/>
        </w:rPr>
        <w:t>: RFID 장서 점검 시스템의 고도화와 관리 프로세스의 간소화를 통해 사서의 물리적 장서 관리 시간을 효과적으로 단축할 필요가 있습니다.</w:t>
      </w:r>
    </w:p>
    <w:p>
      <w:pPr>
        <w:keepNext/>
        <w:spacing w:before="280" w:after="120"/>
      </w:pPr>
      <w:r>
        <w:rPr>
          <w:b/>
          <w:i w:val="0"/>
          <w:color w:val="2F5597"/>
          <w:sz w:val="30"/>
          <w:rFonts w:ascii="맑은 고딕" w:hAnsi="맑은 고딕" w:eastAsia="맑은 고딕"/>
        </w:rPr>
        <w:t>10. 활용 통계 데이터 및 출처 정보</w:t>
      </w:r>
    </w:p>
    <w:p>
      <w:pPr>
        <w:spacing w:before="0" w:after="120" w:line="276" w:lineRule="auto"/>
      </w:pPr>
      <w:r>
        <w:rPr>
          <w:b w:val="0"/>
          <w:i w:val="0"/>
          <w:sz w:val="20"/>
          <w:rFonts w:ascii="맑은 고딕" w:hAnsi="맑은 고딕" w:eastAsia="맑은 고딕"/>
        </w:rPr>
        <w:t>본 분석 보고서는 아래의 공신력 있는 국가 공식 통계 자료 및 글로벌 공공 지표를 기반으로 작성되었습니다.</w:t>
      </w:r>
    </w:p>
    <w:p>
      <w:pPr>
        <w:keepNext/>
        <w:spacing w:before="280" w:after="120"/>
      </w:pPr>
      <w:r>
        <w:rPr>
          <w:b/>
          <w:i w:val="0"/>
          <w:color w:val="5B9BD5"/>
          <w:sz w:val="24"/>
          <w:rFonts w:ascii="맑은 고딕" w:hAnsi="맑은 고딕" w:eastAsia="맑은 고딕"/>
        </w:rPr>
        <w:t>10.1. 지역별 공공도서관 통계 (기본 데이터)</w:t>
      </w:r>
    </w:p>
    <w:p>
      <w:pPr>
        <w:pStyle w:val="ListBullet"/>
        <w:spacing w:before="0" w:after="80" w:line="276" w:lineRule="auto"/>
      </w:pPr>
      <w:r>
        <w:rPr>
          <w:b w:val="0"/>
          <w:i w:val="0"/>
          <w:sz w:val="20"/>
          <w:rFonts w:ascii="맑은 고딕" w:hAnsi="맑은 고딕" w:eastAsia="맑은 고딕"/>
        </w:rPr>
        <w:t>제공 기관</w:t>
      </w:r>
      <w:r>
        <w:rPr>
          <w:b/>
          <w:i w:val="0"/>
          <w:sz w:val="20"/>
          <w:rFonts w:ascii="맑은 고딕" w:hAnsi="맑은 고딕" w:eastAsia="맑은 고딕"/>
        </w:rPr>
        <w:t>: 문화체육관광부 (기획조정실)</w:t>
      </w:r>
    </w:p>
    <w:p>
      <w:pPr>
        <w:pStyle w:val="ListBullet"/>
        <w:spacing w:before="0" w:after="80" w:line="276" w:lineRule="auto"/>
      </w:pPr>
      <w:r>
        <w:rPr>
          <w:b w:val="0"/>
          <w:i w:val="0"/>
          <w:sz w:val="20"/>
          <w:rFonts w:ascii="맑은 고딕" w:hAnsi="맑은 고딕" w:eastAsia="맑은 고딕"/>
        </w:rPr>
        <w:t>통계명</w:t>
      </w:r>
      <w:r>
        <w:rPr>
          <w:b/>
          <w:i w:val="0"/>
          <w:sz w:val="20"/>
          <w:rFonts w:ascii="맑은 고딕" w:hAnsi="맑은 고딕" w:eastAsia="맑은 고딕"/>
        </w:rPr>
        <w:t>: 「전국도서관통계」 (공공도서관 부문)</w:t>
      </w:r>
    </w:p>
    <w:p>
      <w:pPr>
        <w:pStyle w:val="ListBullet"/>
        <w:spacing w:before="0" w:after="80" w:line="276" w:lineRule="auto"/>
      </w:pPr>
      <w:r>
        <w:rPr>
          <w:b w:val="0"/>
          <w:i w:val="0"/>
          <w:sz w:val="20"/>
          <w:rFonts w:ascii="맑은 고딕" w:hAnsi="맑은 고딕" w:eastAsia="맑은 고딕"/>
        </w:rPr>
        <w:t>수집 경로</w:t>
      </w:r>
      <w:r>
        <w:rPr>
          <w:b/>
          <w:i w:val="0"/>
          <w:sz w:val="20"/>
          <w:rFonts w:ascii="맑은 고딕" w:hAnsi="맑은 고딕" w:eastAsia="맑은 고딕"/>
        </w:rPr>
        <w:t>: 국가통계포털 KOSIS (통계표ID: `DT_113_STBL_1028309`)</w:t>
      </w:r>
    </w:p>
    <w:p>
      <w:pPr>
        <w:pStyle w:val="ListBullet"/>
        <w:spacing w:before="0" w:after="80" w:line="276" w:lineRule="auto"/>
      </w:pPr>
      <w:r>
        <w:rPr>
          <w:b w:val="0"/>
          <w:i w:val="0"/>
          <w:sz w:val="20"/>
          <w:rFonts w:ascii="맑은 고딕" w:hAnsi="맑은 고딕" w:eastAsia="맑은 고딕"/>
        </w:rPr>
        <w:t>데이터 범위</w:t>
      </w:r>
      <w:r>
        <w:rPr>
          <w:b/>
          <w:i w:val="0"/>
          <w:sz w:val="20"/>
          <w:rFonts w:ascii="맑은 고딕" w:hAnsi="맑은 고딕" w:eastAsia="맑은 고딕"/>
        </w:rPr>
        <w:t>: 2015년 ~ 2024년 (10개년) 시도별 공공도서관 운영 전반 지표</w:t>
      </w:r>
    </w:p>
    <w:p>
      <w:pPr>
        <w:keepNext/>
        <w:spacing w:before="280" w:after="120"/>
      </w:pPr>
      <w:r>
        <w:rPr>
          <w:b/>
          <w:i w:val="0"/>
          <w:color w:val="5B9BD5"/>
          <w:sz w:val="24"/>
          <w:rFonts w:ascii="맑은 고딕" w:hAnsi="맑은 고딕" w:eastAsia="맑은 고딕"/>
        </w:rPr>
        <w:t>10.2. 대한민국 지역별 인구 통계 (사서 1인당 담당 인구 산출용)</w:t>
      </w:r>
    </w:p>
    <w:p>
      <w:pPr>
        <w:pStyle w:val="ListBullet"/>
        <w:spacing w:before="0" w:after="80" w:line="276" w:lineRule="auto"/>
      </w:pPr>
      <w:r>
        <w:rPr>
          <w:b w:val="0"/>
          <w:i w:val="0"/>
          <w:sz w:val="20"/>
          <w:rFonts w:ascii="맑은 고딕" w:hAnsi="맑은 고딕" w:eastAsia="맑은 고딕"/>
        </w:rPr>
        <w:t>제공 기관</w:t>
      </w:r>
      <w:r>
        <w:rPr>
          <w:b/>
          <w:i w:val="0"/>
          <w:sz w:val="20"/>
          <w:rFonts w:ascii="맑은 고딕" w:hAnsi="맑은 고딕" w:eastAsia="맑은 고딕"/>
        </w:rPr>
        <w:t>: 행정안전부</w:t>
      </w:r>
    </w:p>
    <w:p>
      <w:pPr>
        <w:pStyle w:val="ListBullet"/>
        <w:spacing w:before="0" w:after="80" w:line="276" w:lineRule="auto"/>
      </w:pPr>
      <w:r>
        <w:rPr>
          <w:b w:val="0"/>
          <w:i w:val="0"/>
          <w:sz w:val="20"/>
          <w:rFonts w:ascii="맑은 고딕" w:hAnsi="맑은 고딕" w:eastAsia="맑은 고딕"/>
        </w:rPr>
        <w:t>통계명</w:t>
      </w:r>
      <w:r>
        <w:rPr>
          <w:b/>
          <w:i w:val="0"/>
          <w:sz w:val="20"/>
          <w:rFonts w:ascii="맑은 고딕" w:hAnsi="맑은 고딕" w:eastAsia="맑은 고딕"/>
        </w:rPr>
        <w:t>: 「주민등록 인구통계」 (연말 기준 현황)</w:t>
      </w:r>
    </w:p>
    <w:p>
      <w:pPr>
        <w:pStyle w:val="ListBullet"/>
        <w:spacing w:before="0" w:after="80" w:line="276" w:lineRule="auto"/>
      </w:pPr>
      <w:r>
        <w:rPr>
          <w:b w:val="0"/>
          <w:i w:val="0"/>
          <w:sz w:val="20"/>
          <w:rFonts w:ascii="맑은 고딕" w:hAnsi="맑은 고딕" w:eastAsia="맑은 고딕"/>
        </w:rPr>
        <w:t>수집 경로</w:t>
      </w:r>
      <w:r>
        <w:rPr>
          <w:b/>
          <w:i w:val="0"/>
          <w:sz w:val="20"/>
          <w:rFonts w:ascii="맑은 고딕" w:hAnsi="맑은 고딕" w:eastAsia="맑은 고딕"/>
        </w:rPr>
        <w:t>: 행정안전부 주민등록 인구통계 시스템</w:t>
      </w:r>
    </w:p>
    <w:p>
      <w:pPr>
        <w:pStyle w:val="ListBullet"/>
        <w:spacing w:before="0" w:after="80" w:line="276" w:lineRule="auto"/>
      </w:pPr>
      <w:r>
        <w:rPr>
          <w:b w:val="0"/>
          <w:i w:val="0"/>
          <w:sz w:val="20"/>
          <w:rFonts w:ascii="맑은 고딕" w:hAnsi="맑은 고딕" w:eastAsia="맑은 고딕"/>
        </w:rPr>
        <w:t>데이터 범위</w:t>
      </w:r>
      <w:r>
        <w:rPr>
          <w:b/>
          <w:i w:val="0"/>
          <w:sz w:val="20"/>
          <w:rFonts w:ascii="맑은 고딕" w:hAnsi="맑은 고딕" w:eastAsia="맑은 고딕"/>
        </w:rPr>
        <w:t>: 2024년 말 기준 전국 17개 시도별 주민등록인구 수</w:t>
      </w:r>
    </w:p>
    <w:p>
      <w:pPr>
        <w:keepNext/>
        <w:spacing w:before="280" w:after="120"/>
      </w:pPr>
      <w:r>
        <w:rPr>
          <w:b/>
          <w:i w:val="0"/>
          <w:color w:val="5B9BD5"/>
          <w:sz w:val="24"/>
          <w:rFonts w:ascii="맑은 고딕" w:hAnsi="맑은 고딕" w:eastAsia="맑은 고딕"/>
        </w:rPr>
        <w:t>10.3. 글로벌 주요국 공공도서관 현황 비교 지표</w:t>
      </w:r>
    </w:p>
    <w:p>
      <w:pPr>
        <w:pStyle w:val="ListBullet"/>
        <w:spacing w:before="0" w:after="80" w:line="276" w:lineRule="auto"/>
      </w:pPr>
      <w:r>
        <w:rPr>
          <w:b w:val="0"/>
          <w:i w:val="0"/>
          <w:sz w:val="20"/>
          <w:rFonts w:ascii="맑은 고딕" w:hAnsi="맑은 고딕" w:eastAsia="맑은 고딕"/>
        </w:rPr>
        <w:t>제공 기관</w:t>
      </w:r>
      <w:r>
        <w:rPr>
          <w:b/>
          <w:i w:val="0"/>
          <w:sz w:val="20"/>
          <w:rFonts w:ascii="맑은 고딕" w:hAnsi="맑은 고딕" w:eastAsia="맑은 고딕"/>
        </w:rPr>
        <w:t>: 국제도서관협회연맹 (IFLA)</w:t>
      </w:r>
    </w:p>
    <w:p>
      <w:pPr>
        <w:pStyle w:val="ListBullet"/>
        <w:spacing w:before="0" w:after="80" w:line="276" w:lineRule="auto"/>
      </w:pPr>
      <w:r>
        <w:rPr>
          <w:b w:val="0"/>
          <w:i w:val="0"/>
          <w:sz w:val="20"/>
          <w:rFonts w:ascii="맑은 고딕" w:hAnsi="맑은 고딕" w:eastAsia="맑은 고딕"/>
        </w:rPr>
        <w:t>통계명</w:t>
      </w:r>
      <w:r>
        <w:rPr>
          <w:b/>
          <w:i w:val="0"/>
          <w:sz w:val="20"/>
          <w:rFonts w:ascii="맑은 고딕" w:hAnsi="맑은 고딕" w:eastAsia="맑은 고딕"/>
        </w:rPr>
        <w:t>: 「Library Map of the World」 (Data Lab) 및 문화체육관광부 「국가도서관통계시스템 (LISLA)」 주요국 비교 통계</w:t>
      </w:r>
    </w:p>
    <w:p>
      <w:pPr>
        <w:pStyle w:val="ListBullet"/>
        <w:spacing w:before="0" w:after="80" w:line="276" w:lineRule="auto"/>
      </w:pPr>
      <w:r>
        <w:rPr>
          <w:b w:val="0"/>
          <w:i w:val="0"/>
          <w:sz w:val="20"/>
          <w:rFonts w:ascii="맑은 고딕" w:hAnsi="맑은 고딕" w:eastAsia="맑은 고딕"/>
        </w:rPr>
        <w:t>데이터 범위</w:t>
      </w:r>
      <w:r>
        <w:rPr>
          <w:b/>
          <w:i w:val="0"/>
          <w:sz w:val="20"/>
          <w:rFonts w:ascii="맑은 고딕" w:hAnsi="맑은 고딕" w:eastAsia="맑은 고딕"/>
        </w:rPr>
        <w:t>: 2024년 실적 기준 주요국(미국, 일본, 독일, 호주 등) 공공도서관 1관당 담당 인구 및 사서 배치 수준</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7F7F7F"/>
        <w:sz w:val="17"/>
        <w:rFonts w:ascii="맑은 고딕" w:hAnsi="맑은 고딕" w:eastAsia="맑은 고딕"/>
      </w:rPr>
      <w:t>지역별 공공도서관 사서 확보율 분석 보고서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