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AC939" w14:textId="77777777" w:rsidR="0030526B" w:rsidRDefault="00000000">
      <w:pPr>
        <w:pStyle w:val="Heading1"/>
      </w:pPr>
      <w:r>
        <w:rPr>
          <w:rFonts w:ascii="Arial Unicode MS" w:eastAsia="Arial Unicode MS" w:hAnsi="Arial Unicode MS" w:cs="Arial Unicode MS"/>
        </w:rPr>
        <w:t>Bucket 1 (Classroom Maintenance/GST) → Group 1: Assets (15 pts total)</w:t>
      </w:r>
    </w:p>
    <w:p w14:paraId="2E967AA2" w14:textId="77777777" w:rsidR="0030526B" w:rsidRDefault="00000000">
      <w:pPr>
        <w:pStyle w:val="Heading2"/>
        <w:spacing w:before="0"/>
      </w:pPr>
      <w:r>
        <w:t>Shared Mechanic: Cadence-Based Periods</w:t>
      </w:r>
    </w:p>
    <w:p w14:paraId="5DEB541E" w14:textId="77777777" w:rsidR="0030526B" w:rsidRDefault="00000000">
      <w:pPr>
        <w:pBdr>
          <w:top w:val="nil"/>
          <w:left w:val="nil"/>
          <w:bottom w:val="nil"/>
          <w:right w:val="nil"/>
          <w:between w:val="nil"/>
        </w:pBdr>
        <w:spacing w:after="240"/>
      </w:pPr>
      <w:r>
        <w:t xml:space="preserve">Both KPIs below use a </w:t>
      </w:r>
      <w:r>
        <w:rPr>
          <w:b/>
          <w:bCs/>
        </w:rPr>
        <w:t>period</w:t>
      </w:r>
      <w:r>
        <w:t xml:space="preserve"> — a cadence-length window — instead of a fixed calendar week, so scoring reflects each school's actual due frequency rather than penalizing non-weekly schools for weeks they were never scheduled.</w:t>
      </w:r>
    </w:p>
    <w:p w14:paraId="2806F6BD" w14:textId="77777777" w:rsidR="0030526B" w:rsidRDefault="00000000">
      <w:pPr>
        <w:pStyle w:val="Heading3"/>
        <w:spacing w:before="0"/>
      </w:pPr>
      <w:r>
        <w:t>Cadence Normalization (final)</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0526B" w14:paraId="3AE27D0A" w14:textId="77777777">
        <w:trPr>
          <w:tblHeader/>
        </w:trPr>
        <w:tc>
          <w:tcPr>
            <w:tcW w:w="3120" w:type="dxa"/>
            <w:tcMar>
              <w:top w:w="90" w:type="dxa"/>
              <w:left w:w="90" w:type="dxa"/>
              <w:bottom w:w="90" w:type="dxa"/>
              <w:right w:w="90" w:type="dxa"/>
            </w:tcMar>
          </w:tcPr>
          <w:p w14:paraId="2E348375" w14:textId="77777777" w:rsidR="0030526B" w:rsidRDefault="00000000">
            <w:pPr>
              <w:pBdr>
                <w:top w:val="nil"/>
                <w:left w:val="nil"/>
                <w:bottom w:val="nil"/>
                <w:right w:val="nil"/>
                <w:between w:val="nil"/>
              </w:pBdr>
            </w:pPr>
            <w:r>
              <w:t>Raw text patterns</w:t>
            </w:r>
          </w:p>
        </w:tc>
        <w:tc>
          <w:tcPr>
            <w:tcW w:w="3120" w:type="dxa"/>
            <w:tcMar>
              <w:top w:w="90" w:type="dxa"/>
              <w:left w:w="90" w:type="dxa"/>
              <w:bottom w:w="90" w:type="dxa"/>
              <w:right w:w="90" w:type="dxa"/>
            </w:tcMar>
          </w:tcPr>
          <w:p w14:paraId="2FA3EE54" w14:textId="77777777" w:rsidR="0030526B" w:rsidRDefault="00000000">
            <w:pPr>
              <w:pBdr>
                <w:top w:val="nil"/>
                <w:left w:val="nil"/>
                <w:bottom w:val="nil"/>
                <w:right w:val="nil"/>
                <w:between w:val="nil"/>
              </w:pBdr>
            </w:pPr>
            <w:r>
              <w:t>Canonical cadence</w:t>
            </w:r>
          </w:p>
        </w:tc>
        <w:tc>
          <w:tcPr>
            <w:tcW w:w="3120" w:type="dxa"/>
            <w:tcMar>
              <w:top w:w="90" w:type="dxa"/>
              <w:left w:w="90" w:type="dxa"/>
              <w:bottom w:w="90" w:type="dxa"/>
              <w:right w:w="90" w:type="dxa"/>
            </w:tcMar>
          </w:tcPr>
          <w:p w14:paraId="3EFAE9A7" w14:textId="77777777" w:rsidR="0030526B" w:rsidRDefault="00000000">
            <w:pPr>
              <w:pBdr>
                <w:top w:val="nil"/>
                <w:left w:val="nil"/>
                <w:bottom w:val="nil"/>
                <w:right w:val="nil"/>
                <w:between w:val="nil"/>
              </w:pBdr>
            </w:pPr>
            <w:r>
              <w:t>Period length</w:t>
            </w:r>
          </w:p>
        </w:tc>
      </w:tr>
      <w:tr w:rsidR="0030526B" w14:paraId="0B3B8B23" w14:textId="77777777">
        <w:tc>
          <w:tcPr>
            <w:tcW w:w="3120" w:type="dxa"/>
            <w:tcMar>
              <w:top w:w="90" w:type="dxa"/>
              <w:left w:w="90" w:type="dxa"/>
              <w:bottom w:w="90" w:type="dxa"/>
              <w:right w:w="90" w:type="dxa"/>
            </w:tcMar>
          </w:tcPr>
          <w:p w14:paraId="1DE3CC84" w14:textId="77777777" w:rsidR="0030526B" w:rsidRDefault="00000000">
            <w:pPr>
              <w:pBdr>
                <w:top w:val="nil"/>
                <w:left w:val="nil"/>
                <w:bottom w:val="nil"/>
                <w:right w:val="nil"/>
                <w:between w:val="nil"/>
              </w:pBdr>
            </w:pPr>
            <w:r>
              <w:t>"weekly," "</w:t>
            </w:r>
            <w:proofErr w:type="spellStart"/>
            <w:r>
              <w:t>wk</w:t>
            </w:r>
            <w:proofErr w:type="spellEnd"/>
            <w:r>
              <w:t>," "/week," blank</w:t>
            </w:r>
          </w:p>
        </w:tc>
        <w:tc>
          <w:tcPr>
            <w:tcW w:w="3120" w:type="dxa"/>
            <w:tcMar>
              <w:top w:w="90" w:type="dxa"/>
              <w:left w:w="90" w:type="dxa"/>
              <w:bottom w:w="90" w:type="dxa"/>
              <w:right w:w="90" w:type="dxa"/>
            </w:tcMar>
          </w:tcPr>
          <w:p w14:paraId="47299C4D" w14:textId="77777777" w:rsidR="0030526B" w:rsidRDefault="00000000">
            <w:pPr>
              <w:pBdr>
                <w:top w:val="nil"/>
                <w:left w:val="nil"/>
                <w:bottom w:val="nil"/>
                <w:right w:val="nil"/>
                <w:between w:val="nil"/>
              </w:pBdr>
            </w:pPr>
            <w:r>
              <w:t>Weekly</w:t>
            </w:r>
          </w:p>
        </w:tc>
        <w:tc>
          <w:tcPr>
            <w:tcW w:w="3120" w:type="dxa"/>
            <w:tcMar>
              <w:top w:w="90" w:type="dxa"/>
              <w:left w:w="90" w:type="dxa"/>
              <w:bottom w:w="90" w:type="dxa"/>
              <w:right w:w="90" w:type="dxa"/>
            </w:tcMar>
          </w:tcPr>
          <w:p w14:paraId="225E003B" w14:textId="77777777" w:rsidR="0030526B" w:rsidRDefault="00000000">
            <w:pPr>
              <w:pBdr>
                <w:top w:val="nil"/>
                <w:left w:val="nil"/>
                <w:bottom w:val="nil"/>
                <w:right w:val="nil"/>
                <w:between w:val="nil"/>
              </w:pBdr>
            </w:pPr>
            <w:r>
              <w:t>1 week</w:t>
            </w:r>
          </w:p>
        </w:tc>
      </w:tr>
      <w:tr w:rsidR="0030526B" w14:paraId="7E56FC06" w14:textId="77777777">
        <w:tc>
          <w:tcPr>
            <w:tcW w:w="3120" w:type="dxa"/>
            <w:tcMar>
              <w:top w:w="90" w:type="dxa"/>
              <w:left w:w="90" w:type="dxa"/>
              <w:bottom w:w="90" w:type="dxa"/>
              <w:right w:w="90" w:type="dxa"/>
            </w:tcMar>
          </w:tcPr>
          <w:p w14:paraId="06557DEF" w14:textId="77777777" w:rsidR="0030526B" w:rsidRDefault="00000000">
            <w:pPr>
              <w:pBdr>
                <w:top w:val="nil"/>
                <w:left w:val="nil"/>
                <w:bottom w:val="nil"/>
                <w:right w:val="nil"/>
                <w:between w:val="nil"/>
              </w:pBdr>
            </w:pPr>
            <w:r>
              <w:t>"bi-weekly," "biweekly," "bi weekly" (no EOW/every-other-week qualifier)</w:t>
            </w:r>
          </w:p>
        </w:tc>
        <w:tc>
          <w:tcPr>
            <w:tcW w:w="3120" w:type="dxa"/>
            <w:tcMar>
              <w:top w:w="90" w:type="dxa"/>
              <w:left w:w="90" w:type="dxa"/>
              <w:bottom w:w="90" w:type="dxa"/>
              <w:right w:w="90" w:type="dxa"/>
            </w:tcMar>
          </w:tcPr>
          <w:p w14:paraId="18CCE07D" w14:textId="77777777" w:rsidR="0030526B" w:rsidRDefault="00000000">
            <w:pPr>
              <w:pBdr>
                <w:top w:val="nil"/>
                <w:left w:val="nil"/>
                <w:bottom w:val="nil"/>
                <w:right w:val="nil"/>
                <w:between w:val="nil"/>
              </w:pBdr>
            </w:pPr>
            <w:r>
              <w:t>Twice-weekly</w:t>
            </w:r>
          </w:p>
        </w:tc>
        <w:tc>
          <w:tcPr>
            <w:tcW w:w="3120" w:type="dxa"/>
            <w:tcMar>
              <w:top w:w="90" w:type="dxa"/>
              <w:left w:w="90" w:type="dxa"/>
              <w:bottom w:w="90" w:type="dxa"/>
              <w:right w:w="90" w:type="dxa"/>
            </w:tcMar>
          </w:tcPr>
          <w:p w14:paraId="06CCEAC3" w14:textId="77777777" w:rsidR="0030526B" w:rsidRDefault="00000000">
            <w:pPr>
              <w:pBdr>
                <w:top w:val="nil"/>
                <w:left w:val="nil"/>
                <w:bottom w:val="nil"/>
                <w:right w:val="nil"/>
                <w:between w:val="nil"/>
              </w:pBdr>
            </w:pPr>
            <w:r>
              <w:t>0.5 week</w:t>
            </w:r>
          </w:p>
        </w:tc>
      </w:tr>
      <w:tr w:rsidR="0030526B" w14:paraId="750FD43E" w14:textId="77777777">
        <w:tc>
          <w:tcPr>
            <w:tcW w:w="3120" w:type="dxa"/>
            <w:tcMar>
              <w:top w:w="90" w:type="dxa"/>
              <w:left w:w="90" w:type="dxa"/>
              <w:bottom w:w="90" w:type="dxa"/>
              <w:right w:w="90" w:type="dxa"/>
            </w:tcMar>
          </w:tcPr>
          <w:p w14:paraId="6A0F736E" w14:textId="77777777" w:rsidR="0030526B" w:rsidRDefault="00000000">
            <w:pPr>
              <w:pBdr>
                <w:top w:val="nil"/>
                <w:left w:val="nil"/>
                <w:bottom w:val="nil"/>
                <w:right w:val="nil"/>
                <w:between w:val="nil"/>
              </w:pBdr>
            </w:pPr>
            <w:r>
              <w:t>"EOW," "every other week," "bi-monthly"</w:t>
            </w:r>
          </w:p>
        </w:tc>
        <w:tc>
          <w:tcPr>
            <w:tcW w:w="3120" w:type="dxa"/>
            <w:tcMar>
              <w:top w:w="90" w:type="dxa"/>
              <w:left w:w="90" w:type="dxa"/>
              <w:bottom w:w="90" w:type="dxa"/>
              <w:right w:w="90" w:type="dxa"/>
            </w:tcMar>
          </w:tcPr>
          <w:p w14:paraId="6DCC2989" w14:textId="77777777" w:rsidR="0030526B" w:rsidRDefault="00000000">
            <w:pPr>
              <w:pBdr>
                <w:top w:val="nil"/>
                <w:left w:val="nil"/>
                <w:bottom w:val="nil"/>
                <w:right w:val="nil"/>
                <w:between w:val="nil"/>
              </w:pBdr>
            </w:pPr>
            <w:r>
              <w:t>Every-two-weeks</w:t>
            </w:r>
          </w:p>
        </w:tc>
        <w:tc>
          <w:tcPr>
            <w:tcW w:w="3120" w:type="dxa"/>
            <w:tcMar>
              <w:top w:w="90" w:type="dxa"/>
              <w:left w:w="90" w:type="dxa"/>
              <w:bottom w:w="90" w:type="dxa"/>
              <w:right w:w="90" w:type="dxa"/>
            </w:tcMar>
          </w:tcPr>
          <w:p w14:paraId="4C626029" w14:textId="77777777" w:rsidR="0030526B" w:rsidRDefault="00000000">
            <w:pPr>
              <w:pBdr>
                <w:top w:val="nil"/>
                <w:left w:val="nil"/>
                <w:bottom w:val="nil"/>
                <w:right w:val="nil"/>
                <w:between w:val="nil"/>
              </w:pBdr>
            </w:pPr>
            <w:r>
              <w:t>2 weeks</w:t>
            </w:r>
          </w:p>
        </w:tc>
      </w:tr>
      <w:tr w:rsidR="0030526B" w14:paraId="2700B62E" w14:textId="77777777">
        <w:tc>
          <w:tcPr>
            <w:tcW w:w="3120" w:type="dxa"/>
            <w:tcMar>
              <w:top w:w="90" w:type="dxa"/>
              <w:left w:w="90" w:type="dxa"/>
              <w:bottom w:w="90" w:type="dxa"/>
              <w:right w:w="90" w:type="dxa"/>
            </w:tcMar>
          </w:tcPr>
          <w:p w14:paraId="7B4E3612" w14:textId="77777777" w:rsidR="0030526B" w:rsidRDefault="00000000">
            <w:pPr>
              <w:pBdr>
                <w:top w:val="nil"/>
                <w:left w:val="nil"/>
                <w:bottom w:val="nil"/>
                <w:right w:val="nil"/>
                <w:between w:val="nil"/>
              </w:pBdr>
            </w:pPr>
            <w:r>
              <w:t>"monthly," "once a month"</w:t>
            </w:r>
          </w:p>
        </w:tc>
        <w:tc>
          <w:tcPr>
            <w:tcW w:w="3120" w:type="dxa"/>
            <w:tcMar>
              <w:top w:w="90" w:type="dxa"/>
              <w:left w:w="90" w:type="dxa"/>
              <w:bottom w:w="90" w:type="dxa"/>
              <w:right w:w="90" w:type="dxa"/>
            </w:tcMar>
          </w:tcPr>
          <w:p w14:paraId="027D51F2" w14:textId="77777777" w:rsidR="0030526B" w:rsidRDefault="00000000">
            <w:pPr>
              <w:pBdr>
                <w:top w:val="nil"/>
                <w:left w:val="nil"/>
                <w:bottom w:val="nil"/>
                <w:right w:val="nil"/>
                <w:between w:val="nil"/>
              </w:pBdr>
            </w:pPr>
            <w:r>
              <w:t>Monthly</w:t>
            </w:r>
          </w:p>
        </w:tc>
        <w:tc>
          <w:tcPr>
            <w:tcW w:w="3120" w:type="dxa"/>
            <w:tcMar>
              <w:top w:w="90" w:type="dxa"/>
              <w:left w:w="90" w:type="dxa"/>
              <w:bottom w:w="90" w:type="dxa"/>
              <w:right w:w="90" w:type="dxa"/>
            </w:tcMar>
          </w:tcPr>
          <w:p w14:paraId="1CBD58B4" w14:textId="77777777" w:rsidR="0030526B" w:rsidRDefault="00000000">
            <w:pPr>
              <w:pBdr>
                <w:top w:val="nil"/>
                <w:left w:val="nil"/>
                <w:bottom w:val="nil"/>
                <w:right w:val="nil"/>
                <w:between w:val="nil"/>
              </w:pBdr>
            </w:pPr>
            <w:r>
              <w:t>~4.3 weeks</w:t>
            </w:r>
          </w:p>
        </w:tc>
      </w:tr>
    </w:tbl>
    <w:p w14:paraId="6159C373" w14:textId="77777777" w:rsidR="0030526B" w:rsidRDefault="00000000">
      <w:pPr>
        <w:pBdr>
          <w:top w:val="nil"/>
          <w:left w:val="nil"/>
          <w:bottom w:val="nil"/>
          <w:right w:val="nil"/>
          <w:between w:val="nil"/>
        </w:pBdr>
      </w:pPr>
      <w:r>
        <w:t xml:space="preserve">⚠️ </w:t>
      </w:r>
      <w:r>
        <w:rPr>
          <w:b/>
          <w:bCs/>
        </w:rPr>
        <w:t>Naming-collision warning for future spec editors:</w:t>
      </w:r>
      <w:r>
        <w:t xml:space="preserve"> "bi-weekly" (twice a week) and "bi-monthly" (once every two weeks) sound like they should follow the same pattern but map to very different period lengths. Anyone updating the crosswalk file should treat these as two unrelated terms, not variants of the same idea.</w:t>
      </w:r>
    </w:p>
    <w:p w14:paraId="4BABEA38" w14:textId="77777777" w:rsidR="0030526B" w:rsidRDefault="00000000">
      <w:pPr>
        <w:pBdr>
          <w:top w:val="nil"/>
          <w:left w:val="nil"/>
          <w:bottom w:val="nil"/>
          <w:right w:val="nil"/>
          <w:between w:val="nil"/>
        </w:pBdr>
      </w:pPr>
      <w:r>
        <w:rPr>
          <w:b/>
          <w:bCs/>
        </w:rPr>
        <w:t>Cadence source of truth:</w:t>
      </w:r>
      <w:r>
        <w:t xml:space="preserve"> </w:t>
      </w:r>
      <w:hyperlink r:id="rId5">
        <w:r>
          <w:rPr>
            <w:color w:val="1155CC"/>
            <w:u w:val="single"/>
          </w:rPr>
          <w:t>GST Schedule Visit Cadence file</w:t>
        </w:r>
      </w:hyperlink>
      <w:r>
        <w:rPr>
          <w:rFonts w:ascii="Arial Unicode MS" w:eastAsia="Arial Unicode MS" w:hAnsi="Arial Unicode MS" w:cs="Arial Unicode MS"/>
        </w:rPr>
        <w:t xml:space="preserve"> (school key → full name → cadence) is the default; overridden per-school when a Missing Asset Performance Report's Notes column states a cadence explicitly, since the manager's note is the most current signal. Cadence changes apply </w:t>
      </w:r>
      <w:r>
        <w:rPr>
          <w:b/>
          <w:bCs/>
        </w:rPr>
        <w:t>prospectively only</w:t>
      </w:r>
      <w:r>
        <w:t xml:space="preserve"> — already-closed periods keep their original boundaries.</w:t>
      </w:r>
    </w:p>
    <w:p w14:paraId="1D453F36" w14:textId="77777777" w:rsidR="0030526B" w:rsidRDefault="00000000">
      <w:pPr>
        <w:pBdr>
          <w:top w:val="nil"/>
          <w:left w:val="nil"/>
          <w:bottom w:val="nil"/>
          <w:right w:val="nil"/>
          <w:between w:val="nil"/>
        </w:pBdr>
      </w:pPr>
      <w:r>
        <w:rPr>
          <w:b/>
          <w:bCs/>
        </w:rPr>
        <w:t>Period anchoring:</w:t>
      </w:r>
      <w:r>
        <w:t xml:space="preserve"> each school's period clock starts at its own first appearance in the Weekly GST Schedule, rolling forward in fixed increments of its cadence's period length from that point.</w:t>
      </w:r>
    </w:p>
    <w:p w14:paraId="0496BE6E" w14:textId="77777777" w:rsidR="0030526B" w:rsidRDefault="00000000">
      <w:pPr>
        <w:pBdr>
          <w:top w:val="nil"/>
          <w:left w:val="nil"/>
          <w:bottom w:val="nil"/>
          <w:right w:val="nil"/>
          <w:between w:val="nil"/>
        </w:pBdr>
      </w:pPr>
      <w:r>
        <w:rPr>
          <w:b/>
          <w:bCs/>
        </w:rPr>
        <w:t>Identifier crosswalk:</w:t>
      </w:r>
      <w:r>
        <w:t xml:space="preserve"> the Cadence file's key/code column and School Name column resolve code-vs-full-name inconsistencies across the Missing Asset Performance Report, the Weekly GST Schedule, and this file.</w:t>
      </w:r>
    </w:p>
    <w:p w14:paraId="26144433" w14:textId="77777777" w:rsidR="0030526B" w:rsidRDefault="00000000">
      <w:pPr>
        <w:pBdr>
          <w:top w:val="nil"/>
          <w:left w:val="nil"/>
          <w:bottom w:val="nil"/>
          <w:right w:val="nil"/>
          <w:between w:val="nil"/>
        </w:pBdr>
        <w:spacing w:after="225"/>
      </w:pPr>
      <w:r>
        <w:rPr>
          <w:b/>
          <w:bCs/>
        </w:rPr>
        <w:t>Persistent log:</w:t>
      </w:r>
      <w:r>
        <w:t xml:space="preserve"> stores (canonical school ID, cadence, anchor date, period index, status) per school. Status is written Completed-on-time or Missing at ingestion, and can be retroactively corrected to Late when a later report's Late Assets entry maps back to an earlier period.</w:t>
      </w:r>
    </w:p>
    <w:p w14:paraId="728921E1" w14:textId="77777777" w:rsidR="0030526B" w:rsidRDefault="00000000">
      <w:pPr>
        <w:pStyle w:val="Heading2"/>
        <w:spacing w:before="0"/>
      </w:pPr>
      <w:r>
        <w:t>C1a — Completed Assets Rate</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30526B" w14:paraId="581F7A91" w14:textId="77777777">
        <w:tc>
          <w:tcPr>
            <w:tcW w:w="4680" w:type="dxa"/>
            <w:tcMar>
              <w:top w:w="90" w:type="dxa"/>
              <w:left w:w="90" w:type="dxa"/>
              <w:bottom w:w="90" w:type="dxa"/>
              <w:right w:w="90" w:type="dxa"/>
            </w:tcMar>
          </w:tcPr>
          <w:p w14:paraId="11E5AE46" w14:textId="77777777" w:rsidR="0030526B" w:rsidRDefault="00000000">
            <w:pPr>
              <w:pBdr>
                <w:top w:val="nil"/>
                <w:left w:val="nil"/>
                <w:bottom w:val="nil"/>
                <w:right w:val="nil"/>
                <w:between w:val="nil"/>
              </w:pBdr>
              <w:rPr>
                <w:b/>
                <w:bCs/>
              </w:rPr>
            </w:pPr>
            <w:r>
              <w:rPr>
                <w:b/>
                <w:bCs/>
              </w:rPr>
              <w:t>Formula</w:t>
            </w:r>
          </w:p>
        </w:tc>
        <w:tc>
          <w:tcPr>
            <w:tcW w:w="4680" w:type="dxa"/>
            <w:tcMar>
              <w:top w:w="90" w:type="dxa"/>
              <w:left w:w="90" w:type="dxa"/>
              <w:bottom w:w="90" w:type="dxa"/>
              <w:right w:w="90" w:type="dxa"/>
            </w:tcMar>
          </w:tcPr>
          <w:p w14:paraId="335B7EE2" w14:textId="77777777" w:rsidR="0030526B" w:rsidRDefault="00000000">
            <w:pPr>
              <w:pBdr>
                <w:top w:val="nil"/>
                <w:left w:val="nil"/>
                <w:bottom w:val="nil"/>
                <w:right w:val="nil"/>
                <w:between w:val="nil"/>
              </w:pBdr>
            </w:pPr>
            <w:r>
              <w:t xml:space="preserve">On-time periods ÷ elapsed scheduled periods, cumulative YTD, per school — a "period" is </w:t>
            </w:r>
            <w:r>
              <w:lastRenderedPageBreak/>
              <w:t xml:space="preserve">the school's own cadence-length window. A period counts as on-time only if Completed and never later corrected </w:t>
            </w:r>
            <w:proofErr w:type="gramStart"/>
            <w:r>
              <w:t>to</w:t>
            </w:r>
            <w:proofErr w:type="gramEnd"/>
            <w:r>
              <w:t xml:space="preserve"> Late.</w:t>
            </w:r>
          </w:p>
        </w:tc>
      </w:tr>
      <w:tr w:rsidR="0030526B" w14:paraId="2E67E02F" w14:textId="77777777">
        <w:tc>
          <w:tcPr>
            <w:tcW w:w="4680" w:type="dxa"/>
            <w:tcMar>
              <w:top w:w="90" w:type="dxa"/>
              <w:left w:w="90" w:type="dxa"/>
              <w:bottom w:w="90" w:type="dxa"/>
              <w:right w:w="90" w:type="dxa"/>
            </w:tcMar>
          </w:tcPr>
          <w:p w14:paraId="4AADFE0B" w14:textId="77777777" w:rsidR="0030526B" w:rsidRDefault="00000000">
            <w:pPr>
              <w:pBdr>
                <w:top w:val="nil"/>
                <w:left w:val="nil"/>
                <w:bottom w:val="nil"/>
                <w:right w:val="nil"/>
                <w:between w:val="nil"/>
              </w:pBdr>
              <w:rPr>
                <w:b/>
                <w:bCs/>
              </w:rPr>
            </w:pPr>
            <w:r>
              <w:rPr>
                <w:b/>
                <w:bCs/>
              </w:rPr>
              <w:lastRenderedPageBreak/>
              <w:t>Floor</w:t>
            </w:r>
          </w:p>
        </w:tc>
        <w:tc>
          <w:tcPr>
            <w:tcW w:w="4680" w:type="dxa"/>
            <w:tcMar>
              <w:top w:w="90" w:type="dxa"/>
              <w:left w:w="90" w:type="dxa"/>
              <w:bottom w:w="90" w:type="dxa"/>
              <w:right w:w="90" w:type="dxa"/>
            </w:tcMar>
          </w:tcPr>
          <w:p w14:paraId="0FF7BF05" w14:textId="77777777" w:rsidR="0030526B" w:rsidRDefault="00000000">
            <w:pPr>
              <w:pBdr>
                <w:top w:val="nil"/>
                <w:left w:val="nil"/>
                <w:bottom w:val="nil"/>
                <w:right w:val="nil"/>
                <w:between w:val="nil"/>
              </w:pBdr>
            </w:pPr>
            <w:r>
              <w:t>65%</w:t>
            </w:r>
          </w:p>
        </w:tc>
      </w:tr>
      <w:tr w:rsidR="0030526B" w14:paraId="34C95DD5" w14:textId="77777777">
        <w:tc>
          <w:tcPr>
            <w:tcW w:w="4680" w:type="dxa"/>
            <w:tcMar>
              <w:top w:w="90" w:type="dxa"/>
              <w:left w:w="90" w:type="dxa"/>
              <w:bottom w:w="90" w:type="dxa"/>
              <w:right w:w="90" w:type="dxa"/>
            </w:tcMar>
          </w:tcPr>
          <w:p w14:paraId="62103BD8" w14:textId="77777777" w:rsidR="0030526B" w:rsidRDefault="00000000">
            <w:pPr>
              <w:pBdr>
                <w:top w:val="nil"/>
                <w:left w:val="nil"/>
                <w:bottom w:val="nil"/>
                <w:right w:val="nil"/>
                <w:between w:val="nil"/>
              </w:pBdr>
              <w:rPr>
                <w:b/>
                <w:bCs/>
              </w:rPr>
            </w:pPr>
            <w:r>
              <w:rPr>
                <w:b/>
                <w:bCs/>
              </w:rPr>
              <w:t>Target</w:t>
            </w:r>
          </w:p>
        </w:tc>
        <w:tc>
          <w:tcPr>
            <w:tcW w:w="4680" w:type="dxa"/>
            <w:tcMar>
              <w:top w:w="90" w:type="dxa"/>
              <w:left w:w="90" w:type="dxa"/>
              <w:bottom w:w="90" w:type="dxa"/>
              <w:right w:w="90" w:type="dxa"/>
            </w:tcMar>
          </w:tcPr>
          <w:p w14:paraId="23D4C655" w14:textId="77777777" w:rsidR="0030526B" w:rsidRDefault="00000000">
            <w:pPr>
              <w:pBdr>
                <w:top w:val="nil"/>
                <w:left w:val="nil"/>
                <w:bottom w:val="nil"/>
                <w:right w:val="nil"/>
                <w:between w:val="nil"/>
              </w:pBdr>
            </w:pPr>
            <w:r>
              <w:t>95%</w:t>
            </w:r>
          </w:p>
        </w:tc>
      </w:tr>
      <w:tr w:rsidR="0030526B" w14:paraId="21BDF9F6" w14:textId="77777777">
        <w:tc>
          <w:tcPr>
            <w:tcW w:w="4680" w:type="dxa"/>
            <w:tcMar>
              <w:top w:w="90" w:type="dxa"/>
              <w:left w:w="90" w:type="dxa"/>
              <w:bottom w:w="90" w:type="dxa"/>
              <w:right w:w="90" w:type="dxa"/>
            </w:tcMar>
          </w:tcPr>
          <w:p w14:paraId="2C217BA3" w14:textId="77777777" w:rsidR="0030526B" w:rsidRDefault="00000000">
            <w:pPr>
              <w:pBdr>
                <w:top w:val="nil"/>
                <w:left w:val="nil"/>
                <w:bottom w:val="nil"/>
                <w:right w:val="nil"/>
                <w:between w:val="nil"/>
              </w:pBdr>
              <w:rPr>
                <w:b/>
                <w:bCs/>
              </w:rPr>
            </w:pPr>
            <w:r>
              <w:rPr>
                <w:b/>
                <w:bCs/>
              </w:rPr>
              <w:t>Pts</w:t>
            </w:r>
          </w:p>
        </w:tc>
        <w:tc>
          <w:tcPr>
            <w:tcW w:w="4680" w:type="dxa"/>
            <w:tcMar>
              <w:top w:w="90" w:type="dxa"/>
              <w:left w:w="90" w:type="dxa"/>
              <w:bottom w:w="90" w:type="dxa"/>
              <w:right w:w="90" w:type="dxa"/>
            </w:tcMar>
          </w:tcPr>
          <w:p w14:paraId="1B90EC17" w14:textId="77777777" w:rsidR="0030526B" w:rsidRDefault="00000000">
            <w:pPr>
              <w:pBdr>
                <w:top w:val="nil"/>
                <w:left w:val="nil"/>
                <w:bottom w:val="nil"/>
                <w:right w:val="nil"/>
                <w:between w:val="nil"/>
              </w:pBdr>
            </w:pPr>
            <w:r>
              <w:t>12</w:t>
            </w:r>
          </w:p>
        </w:tc>
      </w:tr>
      <w:tr w:rsidR="0030526B" w14:paraId="1BDCEE0E" w14:textId="77777777">
        <w:tc>
          <w:tcPr>
            <w:tcW w:w="4680" w:type="dxa"/>
            <w:tcMar>
              <w:top w:w="90" w:type="dxa"/>
              <w:left w:w="90" w:type="dxa"/>
              <w:bottom w:w="90" w:type="dxa"/>
              <w:right w:w="90" w:type="dxa"/>
            </w:tcMar>
          </w:tcPr>
          <w:p w14:paraId="102B1069" w14:textId="77777777" w:rsidR="0030526B" w:rsidRDefault="00000000">
            <w:pPr>
              <w:pBdr>
                <w:top w:val="nil"/>
                <w:left w:val="nil"/>
                <w:bottom w:val="nil"/>
                <w:right w:val="nil"/>
                <w:between w:val="nil"/>
              </w:pBdr>
              <w:rPr>
                <w:b/>
                <w:bCs/>
              </w:rPr>
            </w:pPr>
            <w:r>
              <w:rPr>
                <w:b/>
                <w:bCs/>
              </w:rPr>
              <w:t>Source</w:t>
            </w:r>
          </w:p>
        </w:tc>
        <w:tc>
          <w:tcPr>
            <w:tcW w:w="4680" w:type="dxa"/>
            <w:tcMar>
              <w:top w:w="90" w:type="dxa"/>
              <w:left w:w="90" w:type="dxa"/>
              <w:bottom w:w="90" w:type="dxa"/>
              <w:right w:w="90" w:type="dxa"/>
            </w:tcMar>
          </w:tcPr>
          <w:p w14:paraId="5F214EE7" w14:textId="77777777" w:rsidR="0030526B" w:rsidRDefault="00000000">
            <w:pPr>
              <w:pBdr>
                <w:top w:val="nil"/>
                <w:left w:val="nil"/>
                <w:bottom w:val="nil"/>
                <w:right w:val="nil"/>
                <w:between w:val="nil"/>
              </w:pBdr>
            </w:pPr>
            <w:r>
              <w:t xml:space="preserve">Missing Asset Performance Report — "Completed School Codes"/"Missing School Codes" write per-week status; GST-level shortcuts ("All Completed"/"None Completed"/"No Visits Scheduled") read the same way. "Late Assets" (school code + due-date) retroactively corrects the mapped past period. Weekly GST Schedule file — establishes on-site weeks (reference/anchoring only, not the scheduled-period count itself). GST Schedule Visit Cadence file — "Visit Length/Frequency" (normalized per table above) sets period length and, via first appearance, anchor date; </w:t>
            </w:r>
            <w:proofErr w:type="gramStart"/>
            <w:r>
              <w:t>also</w:t>
            </w:r>
            <w:proofErr w:type="gramEnd"/>
            <w:r>
              <w:t xml:space="preserve"> the identifier crosswalk.</w:t>
            </w:r>
          </w:p>
        </w:tc>
      </w:tr>
      <w:tr w:rsidR="0030526B" w14:paraId="1E9DD7C9" w14:textId="77777777">
        <w:tc>
          <w:tcPr>
            <w:tcW w:w="4680" w:type="dxa"/>
            <w:tcMar>
              <w:top w:w="90" w:type="dxa"/>
              <w:left w:w="90" w:type="dxa"/>
              <w:bottom w:w="90" w:type="dxa"/>
              <w:right w:w="90" w:type="dxa"/>
            </w:tcMar>
          </w:tcPr>
          <w:p w14:paraId="05A5456A" w14:textId="77777777" w:rsidR="0030526B" w:rsidRDefault="00000000">
            <w:pPr>
              <w:pBdr>
                <w:top w:val="nil"/>
                <w:left w:val="nil"/>
                <w:bottom w:val="nil"/>
                <w:right w:val="nil"/>
                <w:between w:val="nil"/>
              </w:pBdr>
              <w:rPr>
                <w:b/>
                <w:bCs/>
              </w:rPr>
            </w:pPr>
            <w:r>
              <w:rPr>
                <w:b/>
                <w:bCs/>
              </w:rPr>
              <w:t>Notes</w:t>
            </w:r>
          </w:p>
        </w:tc>
        <w:tc>
          <w:tcPr>
            <w:tcW w:w="4680" w:type="dxa"/>
            <w:tcMar>
              <w:top w:w="90" w:type="dxa"/>
              <w:left w:w="90" w:type="dxa"/>
              <w:bottom w:w="90" w:type="dxa"/>
              <w:right w:w="90" w:type="dxa"/>
            </w:tcMar>
          </w:tcPr>
          <w:p w14:paraId="30649B12" w14:textId="77777777" w:rsidR="0030526B" w:rsidRDefault="00000000">
            <w:pPr>
              <w:pBdr>
                <w:top w:val="nil"/>
                <w:left w:val="nil"/>
                <w:bottom w:val="nil"/>
                <w:right w:val="nil"/>
                <w:between w:val="nil"/>
              </w:pBdr>
            </w:pPr>
            <w:r>
              <w:t>Snapshot report with no memory — requires ongoing log ingestion. A school with more (or fewer) calendar appearances than its cadence dictates still accrues exactly one due-occurrence per cadence cycle; extra/fewer appearances are logistical only and ignored for scoring. Multiple appearances within one period resolve via the schedule's own annotation if present (e.g., "next visit 5/5"), else the first appearance in the period. Cadence conflicts (crosswalk vs. report Notes) resolve in the Notes' favor, prospectively only. "% Completed," "Billable Hours," and "# of schools to visit" columns are informational only and not used by this KPI.</w:t>
            </w:r>
          </w:p>
        </w:tc>
      </w:tr>
      <w:tr w:rsidR="0030526B" w14:paraId="014A42C4" w14:textId="77777777">
        <w:tc>
          <w:tcPr>
            <w:tcW w:w="4680" w:type="dxa"/>
            <w:tcMar>
              <w:top w:w="90" w:type="dxa"/>
              <w:left w:w="90" w:type="dxa"/>
              <w:bottom w:w="90" w:type="dxa"/>
              <w:right w:w="90" w:type="dxa"/>
            </w:tcMar>
          </w:tcPr>
          <w:p w14:paraId="286BF01F" w14:textId="77777777" w:rsidR="0030526B" w:rsidRDefault="00000000">
            <w:pPr>
              <w:pBdr>
                <w:top w:val="nil"/>
                <w:left w:val="nil"/>
                <w:bottom w:val="nil"/>
                <w:right w:val="nil"/>
                <w:between w:val="nil"/>
              </w:pBdr>
              <w:rPr>
                <w:b/>
                <w:bCs/>
              </w:rPr>
            </w:pPr>
            <w:r>
              <w:rPr>
                <w:b/>
                <w:bCs/>
              </w:rPr>
              <w:t>Reasoning</w:t>
            </w:r>
          </w:p>
        </w:tc>
        <w:tc>
          <w:tcPr>
            <w:tcW w:w="4680" w:type="dxa"/>
            <w:tcMar>
              <w:top w:w="90" w:type="dxa"/>
              <w:left w:w="90" w:type="dxa"/>
              <w:bottom w:w="90" w:type="dxa"/>
              <w:right w:w="90" w:type="dxa"/>
            </w:tcMar>
          </w:tcPr>
          <w:p w14:paraId="4FE78E48" w14:textId="77777777" w:rsidR="0030526B" w:rsidRDefault="00000000">
            <w:pPr>
              <w:pBdr>
                <w:top w:val="nil"/>
                <w:left w:val="nil"/>
                <w:bottom w:val="nil"/>
                <w:right w:val="nil"/>
                <w:between w:val="nil"/>
              </w:pBdr>
            </w:pPr>
            <w:r>
              <w:t>Heaviest-weighted KPI in the rubric — feeds the flagging system directly. Cadence-aware periods correct the false-failure/false-leniency risk a flat weekly count would create for any non-weekly-cadence school, whether their true frequency is more or less often than once a week.</w:t>
            </w:r>
          </w:p>
        </w:tc>
      </w:tr>
    </w:tbl>
    <w:p w14:paraId="18F00E2E" w14:textId="77777777" w:rsidR="0030526B" w:rsidRDefault="00000000">
      <w:pPr>
        <w:pStyle w:val="Heading2"/>
      </w:pPr>
      <w:r>
        <w:t>C1b — Late-vs-Missing Rate</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30526B" w14:paraId="3BDEEB3E" w14:textId="77777777">
        <w:tc>
          <w:tcPr>
            <w:tcW w:w="4680" w:type="dxa"/>
            <w:tcMar>
              <w:top w:w="90" w:type="dxa"/>
              <w:left w:w="90" w:type="dxa"/>
              <w:bottom w:w="90" w:type="dxa"/>
              <w:right w:w="90" w:type="dxa"/>
            </w:tcMar>
          </w:tcPr>
          <w:p w14:paraId="4C5CBE4C" w14:textId="77777777" w:rsidR="0030526B" w:rsidRDefault="00000000">
            <w:pPr>
              <w:pBdr>
                <w:top w:val="nil"/>
                <w:left w:val="nil"/>
                <w:bottom w:val="nil"/>
                <w:right w:val="nil"/>
                <w:between w:val="nil"/>
              </w:pBdr>
              <w:rPr>
                <w:b/>
                <w:bCs/>
              </w:rPr>
            </w:pPr>
            <w:r>
              <w:rPr>
                <w:b/>
                <w:bCs/>
              </w:rPr>
              <w:lastRenderedPageBreak/>
              <w:t>Formula</w:t>
            </w:r>
          </w:p>
        </w:tc>
        <w:tc>
          <w:tcPr>
            <w:tcW w:w="4680" w:type="dxa"/>
            <w:tcMar>
              <w:top w:w="90" w:type="dxa"/>
              <w:left w:w="90" w:type="dxa"/>
              <w:bottom w:w="90" w:type="dxa"/>
              <w:right w:w="90" w:type="dxa"/>
            </w:tcMar>
          </w:tcPr>
          <w:p w14:paraId="1CFD48CF" w14:textId="77777777" w:rsidR="0030526B" w:rsidRDefault="00000000">
            <w:pPr>
              <w:pBdr>
                <w:top w:val="nil"/>
                <w:left w:val="nil"/>
                <w:bottom w:val="nil"/>
                <w:right w:val="nil"/>
                <w:between w:val="nil"/>
              </w:pBdr>
            </w:pPr>
            <w:r>
              <w:t>Of periods NOT completed on time (final status = Late or Missing): Late ÷ (Late + Missing), cumulative YTD, using the same cadence-based periods as C1a. Automatic full credit if a school has zero non-on-time periods.</w:t>
            </w:r>
          </w:p>
        </w:tc>
      </w:tr>
      <w:tr w:rsidR="0030526B" w14:paraId="3CADF3B8" w14:textId="77777777">
        <w:tc>
          <w:tcPr>
            <w:tcW w:w="4680" w:type="dxa"/>
            <w:tcMar>
              <w:top w:w="90" w:type="dxa"/>
              <w:left w:w="90" w:type="dxa"/>
              <w:bottom w:w="90" w:type="dxa"/>
              <w:right w:w="90" w:type="dxa"/>
            </w:tcMar>
          </w:tcPr>
          <w:p w14:paraId="71F36C48" w14:textId="77777777" w:rsidR="0030526B" w:rsidRDefault="00000000">
            <w:pPr>
              <w:pBdr>
                <w:top w:val="nil"/>
                <w:left w:val="nil"/>
                <w:bottom w:val="nil"/>
                <w:right w:val="nil"/>
                <w:between w:val="nil"/>
              </w:pBdr>
              <w:rPr>
                <w:b/>
                <w:bCs/>
              </w:rPr>
            </w:pPr>
            <w:r>
              <w:rPr>
                <w:b/>
                <w:bCs/>
              </w:rPr>
              <w:t>Floor</w:t>
            </w:r>
          </w:p>
        </w:tc>
        <w:tc>
          <w:tcPr>
            <w:tcW w:w="4680" w:type="dxa"/>
            <w:tcMar>
              <w:top w:w="90" w:type="dxa"/>
              <w:left w:w="90" w:type="dxa"/>
              <w:bottom w:w="90" w:type="dxa"/>
              <w:right w:w="90" w:type="dxa"/>
            </w:tcMar>
          </w:tcPr>
          <w:p w14:paraId="228E004B" w14:textId="77777777" w:rsidR="0030526B" w:rsidRDefault="00000000">
            <w:pPr>
              <w:pBdr>
                <w:top w:val="nil"/>
                <w:left w:val="nil"/>
                <w:bottom w:val="nil"/>
                <w:right w:val="nil"/>
                <w:between w:val="nil"/>
              </w:pBdr>
            </w:pPr>
            <w:r>
              <w:t>0%</w:t>
            </w:r>
          </w:p>
        </w:tc>
      </w:tr>
      <w:tr w:rsidR="0030526B" w14:paraId="020AFF67" w14:textId="77777777">
        <w:tc>
          <w:tcPr>
            <w:tcW w:w="4680" w:type="dxa"/>
            <w:tcMar>
              <w:top w:w="90" w:type="dxa"/>
              <w:left w:w="90" w:type="dxa"/>
              <w:bottom w:w="90" w:type="dxa"/>
              <w:right w:w="90" w:type="dxa"/>
            </w:tcMar>
          </w:tcPr>
          <w:p w14:paraId="786BB5B4" w14:textId="77777777" w:rsidR="0030526B" w:rsidRDefault="00000000">
            <w:pPr>
              <w:pBdr>
                <w:top w:val="nil"/>
                <w:left w:val="nil"/>
                <w:bottom w:val="nil"/>
                <w:right w:val="nil"/>
                <w:between w:val="nil"/>
              </w:pBdr>
              <w:rPr>
                <w:b/>
                <w:bCs/>
              </w:rPr>
            </w:pPr>
            <w:r>
              <w:rPr>
                <w:b/>
                <w:bCs/>
              </w:rPr>
              <w:t>Target</w:t>
            </w:r>
          </w:p>
        </w:tc>
        <w:tc>
          <w:tcPr>
            <w:tcW w:w="4680" w:type="dxa"/>
            <w:tcMar>
              <w:top w:w="90" w:type="dxa"/>
              <w:left w:w="90" w:type="dxa"/>
              <w:bottom w:w="90" w:type="dxa"/>
              <w:right w:w="90" w:type="dxa"/>
            </w:tcMar>
          </w:tcPr>
          <w:p w14:paraId="5726AEC1" w14:textId="77777777" w:rsidR="0030526B" w:rsidRDefault="00000000">
            <w:pPr>
              <w:pBdr>
                <w:top w:val="nil"/>
                <w:left w:val="nil"/>
                <w:bottom w:val="nil"/>
                <w:right w:val="nil"/>
                <w:between w:val="nil"/>
              </w:pBdr>
            </w:pPr>
            <w:r>
              <w:t>100%</w:t>
            </w:r>
          </w:p>
        </w:tc>
      </w:tr>
      <w:tr w:rsidR="0030526B" w14:paraId="270D47B3" w14:textId="77777777">
        <w:tc>
          <w:tcPr>
            <w:tcW w:w="4680" w:type="dxa"/>
            <w:tcMar>
              <w:top w:w="90" w:type="dxa"/>
              <w:left w:w="90" w:type="dxa"/>
              <w:bottom w:w="90" w:type="dxa"/>
              <w:right w:w="90" w:type="dxa"/>
            </w:tcMar>
          </w:tcPr>
          <w:p w14:paraId="7AF4CB5C" w14:textId="77777777" w:rsidR="0030526B" w:rsidRDefault="00000000">
            <w:pPr>
              <w:pBdr>
                <w:top w:val="nil"/>
                <w:left w:val="nil"/>
                <w:bottom w:val="nil"/>
                <w:right w:val="nil"/>
                <w:between w:val="nil"/>
              </w:pBdr>
              <w:rPr>
                <w:b/>
                <w:bCs/>
              </w:rPr>
            </w:pPr>
            <w:r>
              <w:rPr>
                <w:b/>
                <w:bCs/>
              </w:rPr>
              <w:t>Pts</w:t>
            </w:r>
          </w:p>
        </w:tc>
        <w:tc>
          <w:tcPr>
            <w:tcW w:w="4680" w:type="dxa"/>
            <w:tcMar>
              <w:top w:w="90" w:type="dxa"/>
              <w:left w:w="90" w:type="dxa"/>
              <w:bottom w:w="90" w:type="dxa"/>
              <w:right w:w="90" w:type="dxa"/>
            </w:tcMar>
          </w:tcPr>
          <w:p w14:paraId="1C2A8A6D" w14:textId="77777777" w:rsidR="0030526B" w:rsidRDefault="00000000">
            <w:pPr>
              <w:pBdr>
                <w:top w:val="nil"/>
                <w:left w:val="nil"/>
                <w:bottom w:val="nil"/>
                <w:right w:val="nil"/>
                <w:between w:val="nil"/>
              </w:pBdr>
            </w:pPr>
            <w:r>
              <w:t>3</w:t>
            </w:r>
          </w:p>
        </w:tc>
      </w:tr>
      <w:tr w:rsidR="0030526B" w14:paraId="339E986E" w14:textId="77777777">
        <w:tc>
          <w:tcPr>
            <w:tcW w:w="4680" w:type="dxa"/>
            <w:tcMar>
              <w:top w:w="90" w:type="dxa"/>
              <w:left w:w="90" w:type="dxa"/>
              <w:bottom w:w="90" w:type="dxa"/>
              <w:right w:w="90" w:type="dxa"/>
            </w:tcMar>
          </w:tcPr>
          <w:p w14:paraId="4384582C" w14:textId="77777777" w:rsidR="0030526B" w:rsidRDefault="00000000">
            <w:pPr>
              <w:pBdr>
                <w:top w:val="nil"/>
                <w:left w:val="nil"/>
                <w:bottom w:val="nil"/>
                <w:right w:val="nil"/>
                <w:between w:val="nil"/>
              </w:pBdr>
              <w:rPr>
                <w:b/>
                <w:bCs/>
              </w:rPr>
            </w:pPr>
            <w:r>
              <w:rPr>
                <w:b/>
                <w:bCs/>
              </w:rPr>
              <w:t>Source</w:t>
            </w:r>
          </w:p>
        </w:tc>
        <w:tc>
          <w:tcPr>
            <w:tcW w:w="4680" w:type="dxa"/>
            <w:tcMar>
              <w:top w:w="90" w:type="dxa"/>
              <w:left w:w="90" w:type="dxa"/>
              <w:bottom w:w="90" w:type="dxa"/>
              <w:right w:w="90" w:type="dxa"/>
            </w:tcMar>
          </w:tcPr>
          <w:p w14:paraId="47376806" w14:textId="77777777" w:rsidR="0030526B" w:rsidRDefault="00000000">
            <w:pPr>
              <w:pBdr>
                <w:top w:val="nil"/>
                <w:left w:val="nil"/>
                <w:bottom w:val="nil"/>
                <w:right w:val="nil"/>
                <w:between w:val="nil"/>
              </w:pBdr>
            </w:pPr>
            <w:r>
              <w:t>Same Missing Asset Performance Report — "Late Assets" column (numerator, using the corrected historical period each entry points to) and "Missing School Codes" column (other half of denominator), rolled up into the same cadence-based periods as C1a. Same GST Schedule Visit Cadence file for cadence/identifier resolution.</w:t>
            </w:r>
          </w:p>
        </w:tc>
      </w:tr>
      <w:tr w:rsidR="0030526B" w14:paraId="5CF1681A" w14:textId="77777777">
        <w:tc>
          <w:tcPr>
            <w:tcW w:w="4680" w:type="dxa"/>
            <w:tcMar>
              <w:top w:w="90" w:type="dxa"/>
              <w:left w:w="90" w:type="dxa"/>
              <w:bottom w:w="90" w:type="dxa"/>
              <w:right w:w="90" w:type="dxa"/>
            </w:tcMar>
          </w:tcPr>
          <w:p w14:paraId="664A7D2A" w14:textId="77777777" w:rsidR="0030526B" w:rsidRDefault="00000000">
            <w:pPr>
              <w:pBdr>
                <w:top w:val="nil"/>
                <w:left w:val="nil"/>
                <w:bottom w:val="nil"/>
                <w:right w:val="nil"/>
                <w:between w:val="nil"/>
              </w:pBdr>
              <w:rPr>
                <w:b/>
                <w:bCs/>
              </w:rPr>
            </w:pPr>
            <w:r>
              <w:rPr>
                <w:b/>
                <w:bCs/>
              </w:rPr>
              <w:t>Notes</w:t>
            </w:r>
          </w:p>
        </w:tc>
        <w:tc>
          <w:tcPr>
            <w:tcW w:w="4680" w:type="dxa"/>
            <w:tcMar>
              <w:top w:w="90" w:type="dxa"/>
              <w:left w:w="90" w:type="dxa"/>
              <w:bottom w:w="90" w:type="dxa"/>
              <w:right w:w="90" w:type="dxa"/>
            </w:tcMar>
          </w:tcPr>
          <w:p w14:paraId="52B09FDB" w14:textId="77777777" w:rsidR="0030526B" w:rsidRDefault="00000000">
            <w:pPr>
              <w:pBdr>
                <w:top w:val="nil"/>
                <w:left w:val="nil"/>
                <w:bottom w:val="nil"/>
                <w:right w:val="nil"/>
                <w:between w:val="nil"/>
              </w:pBdr>
            </w:pPr>
            <w:r>
              <w:t>Shares the same persistent log and period buckets as C1a rather than separate ingestion. GST-level shortcuts apply exactly as in C1a, before periods are rolled up. A single period can only resolve to one final status (Late or Missing), never both.</w:t>
            </w:r>
          </w:p>
        </w:tc>
      </w:tr>
      <w:tr w:rsidR="0030526B" w14:paraId="63B81D5E" w14:textId="77777777">
        <w:tc>
          <w:tcPr>
            <w:tcW w:w="4680" w:type="dxa"/>
            <w:tcMar>
              <w:top w:w="90" w:type="dxa"/>
              <w:left w:w="90" w:type="dxa"/>
              <w:bottom w:w="90" w:type="dxa"/>
              <w:right w:w="90" w:type="dxa"/>
            </w:tcMar>
          </w:tcPr>
          <w:p w14:paraId="34339B97" w14:textId="77777777" w:rsidR="0030526B" w:rsidRDefault="00000000">
            <w:pPr>
              <w:pBdr>
                <w:top w:val="nil"/>
                <w:left w:val="nil"/>
                <w:bottom w:val="nil"/>
                <w:right w:val="nil"/>
                <w:between w:val="nil"/>
              </w:pBdr>
              <w:rPr>
                <w:b/>
                <w:bCs/>
              </w:rPr>
            </w:pPr>
            <w:r>
              <w:rPr>
                <w:b/>
                <w:bCs/>
              </w:rPr>
              <w:t>Reasoning</w:t>
            </w:r>
          </w:p>
        </w:tc>
        <w:tc>
          <w:tcPr>
            <w:tcW w:w="4680" w:type="dxa"/>
            <w:tcMar>
              <w:top w:w="90" w:type="dxa"/>
              <w:left w:w="90" w:type="dxa"/>
              <w:bottom w:w="90" w:type="dxa"/>
              <w:right w:w="90" w:type="dxa"/>
            </w:tcMar>
          </w:tcPr>
          <w:p w14:paraId="3AE4CA25" w14:textId="77777777" w:rsidR="0030526B" w:rsidRDefault="00000000">
            <w:pPr>
              <w:pBdr>
                <w:top w:val="nil"/>
                <w:left w:val="nil"/>
                <w:bottom w:val="nil"/>
                <w:right w:val="nil"/>
                <w:between w:val="nil"/>
              </w:pBdr>
            </w:pPr>
            <w:r>
              <w:t>Weighted 4x lighter than C1a since on-time completion is the primary signal and lateness is secondary. Deliberately framed as a conditional rate (Late ÷ (</w:t>
            </w:r>
            <w:proofErr w:type="spellStart"/>
            <w:r>
              <w:t>Late+Missing</w:t>
            </w:r>
            <w:proofErr w:type="spellEnd"/>
            <w:r>
              <w:t>)) rather than a flat late-percentage — a flat rate would let a GST who never files anything at all score a false 0% late (since everything they skip becomes Missing, not Late). This framing rewards catching up and only penalizes going fully dark.</w:t>
            </w:r>
          </w:p>
          <w:p w14:paraId="762BC28F" w14:textId="77777777" w:rsidR="0030526B" w:rsidRDefault="0030526B">
            <w:pPr>
              <w:pBdr>
                <w:top w:val="nil"/>
                <w:left w:val="nil"/>
                <w:bottom w:val="nil"/>
                <w:right w:val="nil"/>
                <w:between w:val="nil"/>
              </w:pBdr>
            </w:pPr>
          </w:p>
          <w:p w14:paraId="07D3CEFB" w14:textId="77777777" w:rsidR="0030526B" w:rsidRDefault="00000000">
            <w:pPr>
              <w:pBdr>
                <w:top w:val="nil"/>
                <w:left w:val="nil"/>
                <w:bottom w:val="nil"/>
                <w:right w:val="nil"/>
                <w:between w:val="nil"/>
              </w:pBdr>
              <w:rPr>
                <w:i/>
                <w:iCs/>
              </w:rPr>
            </w:pPr>
            <w:r>
              <w:rPr>
                <w:i/>
                <w:iCs/>
              </w:rPr>
              <w:t>In plain terms: C1b only looks at periods a school already got wrong, and asks whether they eventually turned the asset in late (a recoverable mistake, near-full credit) or never turned it in at all (disengagement, near-zero credit) — so a school has to still be trying in order to score well here, and simply doing nothing can never look good by accident.</w:t>
            </w:r>
          </w:p>
        </w:tc>
      </w:tr>
    </w:tbl>
    <w:p w14:paraId="294B831B" w14:textId="77777777" w:rsidR="0030526B" w:rsidRDefault="00000000">
      <w:pPr>
        <w:pStyle w:val="Heading2"/>
        <w:spacing w:after="240"/>
      </w:pPr>
      <w:r>
        <w:t>Worked Examples (3-Month / 13-Week Window)</w:t>
      </w:r>
    </w:p>
    <w:p w14:paraId="50F1621F" w14:textId="77777777" w:rsidR="0030526B" w:rsidRDefault="00000000">
      <w:pPr>
        <w:pStyle w:val="Heading3"/>
        <w:spacing w:before="0"/>
      </w:pPr>
      <w:r>
        <w:lastRenderedPageBreak/>
        <w:t>K198 (Weekly cadence, 13 periods)</w:t>
      </w:r>
    </w:p>
    <w:p w14:paraId="574E2BC2" w14:textId="77777777" w:rsidR="0030526B" w:rsidRDefault="00000000">
      <w:pPr>
        <w:pBdr>
          <w:top w:val="nil"/>
          <w:left w:val="nil"/>
          <w:bottom w:val="nil"/>
          <w:right w:val="nil"/>
          <w:between w:val="nil"/>
        </w:pBdr>
      </w:pPr>
      <w:r>
        <w:t>11 on-time, 1 Late, 1 Missing (never corrected).</w:t>
      </w:r>
    </w:p>
    <w:p w14:paraId="6CF18BEA" w14:textId="77777777" w:rsidR="0030526B" w:rsidRDefault="00000000">
      <w:pPr>
        <w:pBdr>
          <w:top w:val="nil"/>
          <w:left w:val="nil"/>
          <w:bottom w:val="nil"/>
          <w:right w:val="nil"/>
          <w:between w:val="nil"/>
        </w:pBdr>
        <w:rPr>
          <w:b/>
          <w:bCs/>
        </w:rPr>
      </w:pPr>
      <w:r>
        <w:rPr>
          <w:rFonts w:ascii="Arial Unicode MS" w:eastAsia="Arial Unicode MS" w:hAnsi="Arial Unicode MS" w:cs="Arial Unicode MS"/>
        </w:rPr>
        <w:t xml:space="preserve">C1a = 11/13 = 84.6% → 12 × </w:t>
      </w:r>
      <w:proofErr w:type="gramStart"/>
      <w:r>
        <w:rPr>
          <w:rFonts w:ascii="Arial Unicode MS" w:eastAsia="Arial Unicode MS" w:hAnsi="Arial Unicode MS" w:cs="Arial Unicode MS"/>
        </w:rPr>
        <w:t>clamp(</w:t>
      </w:r>
      <w:proofErr w:type="gramEnd"/>
      <w:r>
        <w:rPr>
          <w:rFonts w:ascii="Arial Unicode MS" w:eastAsia="Arial Unicode MS" w:hAnsi="Arial Unicode MS" w:cs="Arial Unicode MS"/>
        </w:rPr>
        <w:t>(84.6−65)</w:t>
      </w: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 xml:space="preserve">95−65), 0, 1) = </w:t>
      </w:r>
      <w:r>
        <w:rPr>
          <w:b/>
          <w:bCs/>
        </w:rPr>
        <w:t>7.8 pts</w:t>
      </w:r>
    </w:p>
    <w:p w14:paraId="09917311" w14:textId="77777777" w:rsidR="0030526B" w:rsidRDefault="00000000">
      <w:pPr>
        <w:pBdr>
          <w:top w:val="nil"/>
          <w:left w:val="nil"/>
          <w:bottom w:val="nil"/>
          <w:right w:val="nil"/>
          <w:between w:val="nil"/>
        </w:pBdr>
        <w:spacing w:after="240"/>
        <w:rPr>
          <w:b/>
          <w:bCs/>
        </w:rPr>
      </w:pPr>
      <w:r>
        <w:rPr>
          <w:rFonts w:ascii="Arial Unicode MS" w:eastAsia="Arial Unicode MS" w:hAnsi="Arial Unicode MS" w:cs="Arial Unicode MS"/>
        </w:rPr>
        <w:t xml:space="preserve">C1b = 1 ÷ (1+1) = 50% → </w:t>
      </w:r>
      <w:r>
        <w:rPr>
          <w:b/>
          <w:bCs/>
        </w:rPr>
        <w:t>1.5 pts</w:t>
      </w:r>
    </w:p>
    <w:p w14:paraId="2BF80BC0" w14:textId="77777777" w:rsidR="0030526B" w:rsidRDefault="00000000">
      <w:pPr>
        <w:pStyle w:val="Heading3"/>
        <w:spacing w:before="0"/>
      </w:pPr>
      <w:r>
        <w:t>K089 (corrected: Twice-weekly cadence, 26 periods over 13 weeks)</w:t>
      </w:r>
    </w:p>
    <w:p w14:paraId="65E77D8B" w14:textId="77777777" w:rsidR="0030526B" w:rsidRDefault="00000000">
      <w:pPr>
        <w:pBdr>
          <w:top w:val="nil"/>
          <w:left w:val="nil"/>
          <w:bottom w:val="nil"/>
          <w:right w:val="nil"/>
          <w:between w:val="nil"/>
        </w:pBdr>
      </w:pPr>
      <w:r>
        <w:t>24 on-time, 1 Late, 1 Missing.</w:t>
      </w:r>
    </w:p>
    <w:p w14:paraId="7CC8318E" w14:textId="77777777" w:rsidR="0030526B" w:rsidRDefault="00000000">
      <w:pPr>
        <w:pBdr>
          <w:top w:val="nil"/>
          <w:left w:val="nil"/>
          <w:bottom w:val="nil"/>
          <w:right w:val="nil"/>
          <w:between w:val="nil"/>
        </w:pBdr>
        <w:rPr>
          <w:b/>
          <w:bCs/>
        </w:rPr>
      </w:pPr>
      <w:r>
        <w:rPr>
          <w:rFonts w:ascii="Arial Unicode MS" w:eastAsia="Arial Unicode MS" w:hAnsi="Arial Unicode MS" w:cs="Arial Unicode MS"/>
        </w:rPr>
        <w:t xml:space="preserve">C1a = 24/26 = 92.3% → 12 × </w:t>
      </w:r>
      <w:proofErr w:type="gramStart"/>
      <w:r>
        <w:rPr>
          <w:rFonts w:ascii="Arial Unicode MS" w:eastAsia="Arial Unicode MS" w:hAnsi="Arial Unicode MS" w:cs="Arial Unicode MS"/>
        </w:rPr>
        <w:t>clamp(</w:t>
      </w:r>
      <w:proofErr w:type="gramEnd"/>
      <w:r>
        <w:rPr>
          <w:rFonts w:ascii="Arial Unicode MS" w:eastAsia="Arial Unicode MS" w:hAnsi="Arial Unicode MS" w:cs="Arial Unicode MS"/>
        </w:rPr>
        <w:t xml:space="preserve">(92.3−65)/30, 0, 1) = </w:t>
      </w:r>
      <w:r>
        <w:rPr>
          <w:b/>
          <w:bCs/>
        </w:rPr>
        <w:t>10.9 pts</w:t>
      </w:r>
    </w:p>
    <w:p w14:paraId="272222A7" w14:textId="77777777" w:rsidR="0030526B" w:rsidRDefault="00000000">
      <w:pPr>
        <w:pBdr>
          <w:top w:val="nil"/>
          <w:left w:val="nil"/>
          <w:bottom w:val="nil"/>
          <w:right w:val="nil"/>
          <w:between w:val="nil"/>
        </w:pBdr>
        <w:rPr>
          <w:b/>
          <w:bCs/>
        </w:rPr>
      </w:pPr>
      <w:r>
        <w:rPr>
          <w:rFonts w:ascii="Arial Unicode MS" w:eastAsia="Arial Unicode MS" w:hAnsi="Arial Unicode MS" w:cs="Arial Unicode MS"/>
        </w:rPr>
        <w:t xml:space="preserve">C1b = 1 ÷ (1+1) = 50% → </w:t>
      </w:r>
      <w:r>
        <w:rPr>
          <w:b/>
          <w:bCs/>
        </w:rPr>
        <w:t>1.5 pts</w:t>
      </w:r>
    </w:p>
    <w:p w14:paraId="63982321" w14:textId="77777777" w:rsidR="0030526B" w:rsidRDefault="0030526B">
      <w:pPr>
        <w:pBdr>
          <w:top w:val="nil"/>
          <w:left w:val="nil"/>
          <w:bottom w:val="nil"/>
          <w:right w:val="nil"/>
          <w:between w:val="nil"/>
        </w:pBdr>
        <w:spacing w:after="240"/>
        <w:rPr>
          <w:i/>
          <w:iCs/>
        </w:rPr>
      </w:pPr>
    </w:p>
    <w:p w14:paraId="5E88873F" w14:textId="77777777" w:rsidR="0030526B" w:rsidRDefault="00000000">
      <w:pPr>
        <w:pStyle w:val="Heading3"/>
        <w:spacing w:before="0"/>
      </w:pPr>
      <w:r>
        <w:t>X208 (Monthly cadence, 3 periods over 13 weeks)</w:t>
      </w:r>
    </w:p>
    <w:p w14:paraId="36B9690F" w14:textId="77777777" w:rsidR="0030526B" w:rsidRDefault="00000000">
      <w:pPr>
        <w:pBdr>
          <w:top w:val="nil"/>
          <w:left w:val="nil"/>
          <w:bottom w:val="nil"/>
          <w:right w:val="nil"/>
          <w:between w:val="nil"/>
        </w:pBdr>
      </w:pPr>
      <w:r>
        <w:t>2 on-time, 0 Late, 1 Missing (never corrected).</w:t>
      </w:r>
    </w:p>
    <w:p w14:paraId="020030E1" w14:textId="77777777" w:rsidR="0030526B" w:rsidRDefault="00000000">
      <w:pPr>
        <w:pBdr>
          <w:top w:val="nil"/>
          <w:left w:val="nil"/>
          <w:bottom w:val="nil"/>
          <w:right w:val="nil"/>
          <w:between w:val="nil"/>
        </w:pBdr>
        <w:rPr>
          <w:b/>
          <w:bCs/>
        </w:rPr>
      </w:pPr>
      <w:r>
        <w:rPr>
          <w:rFonts w:ascii="Arial Unicode MS" w:eastAsia="Arial Unicode MS" w:hAnsi="Arial Unicode MS" w:cs="Arial Unicode MS"/>
        </w:rPr>
        <w:t xml:space="preserve">C1a = 2/3 = 66.7% → </w:t>
      </w:r>
      <w:r>
        <w:rPr>
          <w:b/>
          <w:bCs/>
        </w:rPr>
        <w:t>0.7 pts</w:t>
      </w:r>
    </w:p>
    <w:p w14:paraId="5C5FE5B4" w14:textId="77777777" w:rsidR="0030526B" w:rsidRDefault="00000000">
      <w:pPr>
        <w:pBdr>
          <w:top w:val="nil"/>
          <w:left w:val="nil"/>
          <w:bottom w:val="nil"/>
          <w:right w:val="nil"/>
          <w:between w:val="nil"/>
        </w:pBdr>
        <w:rPr>
          <w:b/>
          <w:bCs/>
        </w:rPr>
      </w:pPr>
      <w:r>
        <w:rPr>
          <w:rFonts w:ascii="Arial Unicode MS" w:eastAsia="Arial Unicode MS" w:hAnsi="Arial Unicode MS" w:cs="Arial Unicode MS"/>
        </w:rPr>
        <w:t xml:space="preserve">C1b = 0 ÷ (0+1) = 0% → </w:t>
      </w:r>
      <w:r>
        <w:rPr>
          <w:b/>
          <w:bCs/>
        </w:rPr>
        <w:t>0 pts</w:t>
      </w:r>
    </w:p>
    <w:p w14:paraId="65FC0C8C" w14:textId="77777777" w:rsidR="0030526B" w:rsidRDefault="0030526B">
      <w:pPr>
        <w:pBdr>
          <w:top w:val="nil"/>
          <w:left w:val="nil"/>
          <w:bottom w:val="nil"/>
          <w:right w:val="nil"/>
          <w:between w:val="nil"/>
        </w:pBdr>
        <w:rPr>
          <w:b/>
          <w:bCs/>
        </w:rPr>
      </w:pPr>
    </w:p>
    <w:p w14:paraId="117A45C2" w14:textId="77777777" w:rsidR="0030526B" w:rsidRDefault="00000000">
      <w:pPr>
        <w:pStyle w:val="Heading3"/>
        <w:spacing w:before="0"/>
      </w:pPr>
      <w:r>
        <w:t>Cadence-override case (K212)</w:t>
      </w:r>
    </w:p>
    <w:p w14:paraId="1AD2D05C" w14:textId="77777777" w:rsidR="0030526B" w:rsidRDefault="00000000">
      <w:pPr>
        <w:pBdr>
          <w:top w:val="nil"/>
          <w:left w:val="nil"/>
          <w:bottom w:val="nil"/>
          <w:right w:val="nil"/>
          <w:between w:val="nil"/>
        </w:pBdr>
        <w:spacing w:after="225"/>
      </w:pPr>
      <w:r>
        <w:t xml:space="preserve">If a manager's report Notes states a new cadence for a school partway through the year (e.g., "K212 is monthly" overriding a bi-weekly crosswalk entry), the change applies </w:t>
      </w:r>
      <w:r>
        <w:rPr>
          <w:b/>
          <w:bCs/>
        </w:rPr>
        <w:t>prospectively only</w:t>
      </w:r>
      <w:r>
        <w:t>: periods already closed keep their original boundaries, and only periods from that point forward use the new cadence length, still anchored to the school's original first-scheduled-visit date.</w:t>
      </w:r>
    </w:p>
    <w:p w14:paraId="24902BB2" w14:textId="77777777" w:rsidR="0030526B" w:rsidRDefault="00000000">
      <w:pPr>
        <w:pStyle w:val="Heading2"/>
        <w:spacing w:before="0"/>
      </w:pPr>
      <w:r>
        <w:t>Build Dependencies</w:t>
      </w:r>
    </w:p>
    <w:p w14:paraId="49E91013" w14:textId="77777777" w:rsidR="0030526B" w:rsidRDefault="00000000">
      <w:pPr>
        <w:numPr>
          <w:ilvl w:val="0"/>
          <w:numId w:val="1"/>
        </w:numPr>
        <w:pBdr>
          <w:top w:val="nil"/>
          <w:left w:val="nil"/>
          <w:bottom w:val="nil"/>
          <w:right w:val="nil"/>
          <w:between w:val="nil"/>
        </w:pBdr>
      </w:pPr>
      <w:r>
        <w:rPr>
          <w:b/>
          <w:bCs/>
        </w:rPr>
        <w:t>Cadence reconciliation process</w:t>
      </w:r>
      <w:r>
        <w:t xml:space="preserve"> — a defined (likely manual) process is needed to periodically update the master crosswalk file when a report's Notes contradicts it, so the two sources don't silently drift out of sync.</w:t>
      </w:r>
    </w:p>
    <w:p w14:paraId="0D1A7C87" w14:textId="77777777" w:rsidR="0030526B" w:rsidRDefault="00000000">
      <w:pPr>
        <w:numPr>
          <w:ilvl w:val="0"/>
          <w:numId w:val="1"/>
        </w:numPr>
        <w:pBdr>
          <w:top w:val="nil"/>
          <w:left w:val="nil"/>
          <w:bottom w:val="nil"/>
          <w:right w:val="nil"/>
          <w:between w:val="nil"/>
        </w:pBdr>
      </w:pPr>
      <w:r>
        <w:rPr>
          <w:b/>
          <w:bCs/>
        </w:rPr>
        <w:t>Per-school anchor storage</w:t>
      </w:r>
      <w:r>
        <w:t xml:space="preserve"> — the log needs a one-time "first scheduled appearance" date captured per school at onboarding, not just running week-by-week writes.</w:t>
      </w:r>
    </w:p>
    <w:p w14:paraId="4C27EF6E" w14:textId="77777777" w:rsidR="0030526B" w:rsidRDefault="00000000">
      <w:pPr>
        <w:numPr>
          <w:ilvl w:val="0"/>
          <w:numId w:val="1"/>
        </w:numPr>
        <w:pBdr>
          <w:top w:val="nil"/>
          <w:left w:val="nil"/>
          <w:bottom w:val="nil"/>
          <w:right w:val="nil"/>
          <w:between w:val="nil"/>
        </w:pBdr>
      </w:pPr>
      <w:r>
        <w:rPr>
          <w:b/>
          <w:bCs/>
        </w:rPr>
        <w:t>Retroactive correction at the period level</w:t>
      </w:r>
      <w:r>
        <w:t xml:space="preserve"> — a Late Assets entry's due-date must first be mapped to which period (not just which week) it falls in before correcting that school's log.</w:t>
      </w:r>
    </w:p>
    <w:p w14:paraId="33192521" w14:textId="77777777" w:rsidR="0030526B" w:rsidRDefault="00000000">
      <w:pPr>
        <w:numPr>
          <w:ilvl w:val="0"/>
          <w:numId w:val="1"/>
        </w:numPr>
        <w:pBdr>
          <w:top w:val="nil"/>
          <w:left w:val="nil"/>
          <w:bottom w:val="nil"/>
          <w:right w:val="nil"/>
          <w:between w:val="nil"/>
        </w:pBdr>
      </w:pPr>
      <w:r>
        <w:rPr>
          <w:b/>
          <w:bCs/>
        </w:rPr>
        <w:t>Blank/ambiguous cadence entries</w:t>
      </w:r>
      <w:r>
        <w:t xml:space="preserve"> — several crosswalk rows are blank and default to Weekly per decision; worth a periodic audit so "blank" doesn't quietly mean "actually less-than-weekly but never entered."</w:t>
      </w:r>
    </w:p>
    <w:p w14:paraId="66B2387B" w14:textId="77777777" w:rsidR="0030526B" w:rsidRDefault="00000000">
      <w:pPr>
        <w:numPr>
          <w:ilvl w:val="0"/>
          <w:numId w:val="1"/>
        </w:numPr>
        <w:pBdr>
          <w:top w:val="nil"/>
          <w:left w:val="nil"/>
          <w:bottom w:val="nil"/>
          <w:right w:val="nil"/>
          <w:between w:val="nil"/>
        </w:pBdr>
      </w:pPr>
      <w:r>
        <w:rPr>
          <w:b/>
          <w:bCs/>
        </w:rPr>
        <w:t>Prospective-only cadence changes</w:t>
      </w:r>
      <w:r>
        <w:t xml:space="preserve"> — ingestion logic must preserve already-closed periods' original boundaries when a school's cadence changes mid-stream, rather than </w:t>
      </w:r>
      <w:proofErr w:type="spellStart"/>
      <w:r>
        <w:t>resegmenting</w:t>
      </w:r>
      <w:proofErr w:type="spellEnd"/>
      <w:r>
        <w:t xml:space="preserve"> history (if a school's cadence changes partway through the year, don't go back and rewrite the past.)</w:t>
      </w:r>
    </w:p>
    <w:sectPr w:rsidR="0030526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280B8C-ABE5-4A87-A3AA-5C2C2CDC507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5817259-D23D-4792-9480-C575AD8DF628}"/>
  </w:font>
  <w:font w:name="Cambria">
    <w:panose1 w:val="02040503050406030204"/>
    <w:charset w:val="00"/>
    <w:family w:val="roman"/>
    <w:pitch w:val="variable"/>
    <w:sig w:usb0="E00006FF" w:usb1="420024FF" w:usb2="02000000" w:usb3="00000000" w:csb0="0000019F" w:csb1="00000000"/>
    <w:embedRegular r:id="rId3" w:fontKey="{A052F680-2D3A-4BC4-8B0D-55846341B0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82375"/>
    <w:multiLevelType w:val="multilevel"/>
    <w:tmpl w:val="FCF255D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8095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26B"/>
    <w:rsid w:val="0030526B"/>
    <w:rsid w:val="00346EDC"/>
    <w:rsid w:val="00FC1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7AFFE"/>
  <w15:docId w15:val="{ACE19E77-B882-4A9D-9E0E-C02D7DC4E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94_evf1WYsEDYiFnem2wk0xtV2ndNhs2nPaZ85MBVaE/edit?usp=drive_link"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Martins</dc:creator>
  <cp:lastModifiedBy>Pedro Martins</cp:lastModifiedBy>
  <cp:revision>2</cp:revision>
  <dcterms:created xsi:type="dcterms:W3CDTF">2026-09-29T01:26:00Z</dcterms:created>
  <dcterms:modified xsi:type="dcterms:W3CDTF">2026-09-29T01:26:00Z</dcterms:modified>
</cp:coreProperties>
</file>