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2024-04-15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68e483e1-848d-41a7-a8de-27e64a013b68" w:name="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8e483e1-848d-41a7-a8de-27e64a013b68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eligible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133%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eligible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d2865ef8-e257-4b1b-b150-f131379e2fb9" w:name="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2865ef8-e257-4b1b-b150-f131379e2fb9"/>
      <w:r>
        <w:rPr>
          <w:rFonts/>
          <w:b w:val="true"/>
        </w:rPr>
        <w:t xml:space="preserve">:  </w:t>
      </w:r>
      <w:r>
        <w:t xml:space="preserve">Number of Participants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92fac970-0ea5-4753-89c8-5c344c374603" w:name="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92fac970-0ea5-4753-89c8-5c344c374603"/>
      <w:r>
        <w:rPr>
          <w:rFonts/>
          <w:b w:val="true"/>
        </w:rPr>
        <w:t xml:space="preserve">:  </w:t>
      </w:r>
      <w:r>
        <w:t xml:space="preserve">Treatment/Control Group Assignment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Unassigned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a006c9c5-f225-4d18-9bb6-6f9995456c9c" w:name="trigger_cf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a006c9c5-f225-4d18-9bb6-6f9995456c9c"/>
      <w:r>
        <w:rPr>
          <w:rFonts/>
          <w:b w:val="true"/>
        </w:rPr>
        <w:t xml:space="preserve">:  </w:t>
      </w:r>
      <w:r>
        <w:t xml:space="preserve">Triggered Safety Plan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9a00260f-7a63-4010-81b9-aeef07045ced" w:name="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9a00260f-7a63-4010-81b9-aeef07045ced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284a4231-65dc-4116-bf65-15c94affad05" w:name="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84a4231-65dc-4116-bf65-15c94affad05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(youth and/or caregivers)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complete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pass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pass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consent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parents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18-19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2024-04-16T03:47:43Z</dcterms:created>
  <dcterms:modified xsi:type="dcterms:W3CDTF">2024-04-15T23:47:44Z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  <property fmtid="{D5CDD505-2E9C-101B-9397-08002B2CF9AE}" pid="3" name="output">
    <vt:lpwstr/>
  </property>
</Properties>
</file>