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f0c60a714f74ee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d40544c85544092"/>
                    <a:stretch>
                      <a:fillRect/>
                    </a:stretch>
                  </pic:blipFill>
                  <pic:spPr>
                    <a:xfrm>
                      <a:off x="0" y="0"/>
                      <a:ext cx="7560000" cy="10692000"/>
                    </a:xfrm>
                    <a:prstGeom prst="rect"/>
                  </pic:spPr>
                </pic:pic>
              </a:graphicData>
            </a:graphic>
          </wp:anchor>
        </w:drawing>
      </w:r>
    </w:p>
    <w:p>
      <w:pPr>
        <w:spacing w:before="3800"/>
      </w:pPr>
      <w:r/>
    </w:p>
    <w:p>
      <w:pPr>
        <w:spacing w:after="120"/>
        <w:ind w:left="1100" w:right="1100"/>
        <w:jc w:val="left"/>
      </w:pPr>
      <w:r>
        <w:rPr>
          <w:b/>
          <w:color w:val="8A6D3B"/>
          <w:spacing w:val="60"/>
          <w:sz w:val="30"/>
        </w:rPr>
        <w:t>DOS BUSINESS OS</w:t>
      </w:r>
    </w:p>
    <w:p>
      <w:pPr>
        <w:spacing w:after="240"/>
        <w:ind w:left="1100" w:right="1100"/>
        <w:jc w:val="left"/>
      </w:pPr>
      <w:r>
        <w:rPr>
          <w:b/>
          <w:color w:val="37474F"/>
          <w:spacing w:val="20"/>
          <w:sz w:val="56"/>
        </w:rPr>
        <w:t>Revenue &amp; Growth</w:t>
      </w:r>
    </w:p>
    <w:p>
      <w:pPr>
        <w:spacing w:after="500"/>
        <w:ind w:left="1100" w:right="1100"/>
        <w:jc w:val="left"/>
      </w:pPr>
      <w:r>
        <w:rPr>
          <w:b/>
          <w:color w:val="37474F"/>
          <w:spacing w:val="20"/>
          <w:sz w:val="56"/>
        </w:rPr>
        <w:t>Intelligence AI (RGI-AI)</w:t>
      </w:r>
    </w:p>
    <w:p>
      <w:pPr>
        <w:spacing w:after="2200"/>
        <w:ind w:left="1100" w:right="1100"/>
        <w:jc w:val="left"/>
      </w:pPr>
      <w:r>
        <w:rPr>
          <w:color w:val="546E7A"/>
          <w:sz w:val="24"/>
        </w:rPr>
        <w:t>Module Blueprint  ·  Core Executive AI Module  ·  Version 1.1</w:t>
      </w:r>
    </w:p>
    <w:p>
      <w:pPr>
        <w:spacing w:after="60"/>
        <w:ind w:left="1100" w:right="1100"/>
        <w:jc w:val="left"/>
      </w:pPr>
      <w:r>
        <w:rPr>
          <w:color w:val="546E7A"/>
          <w:sz w:val="20"/>
        </w:rPr>
        <w:t>AA2000 Security and Technology Solutions Inc.</w:t>
      </w:r>
    </w:p>
    <w:p>
      <w:pPr>
        <w:ind w:left="1100"/>
      </w:pPr>
      <w:r>
        <w:rPr>
          <w:color w:val="78909C"/>
          <w:sz w:val="18"/>
        </w:rPr>
        <w:t>July 2026  |  With integrated consultant-audit revisions</w:t>
      </w:r>
    </w:p>
    <w:p>
      <w:pPr>
        <w:sectPr>
          <w:type w:val="nextPage"/>
          <w:pgSz w:w="11906" w:h="16838"/>
          <w:pgMar w:top="0" w:right="0" w:bottom="0" w:left="0" w:header="0" w:footer="0"/>
          <w:titlePg/>
        </w:sectPr>
      </w:pPr>
    </w:p>
    <w:p>
      <w:pPr>
        <w:pStyle w:val="Heading1"/>
      </w:pPr>
      <w:r>
        <w:t>Table of Contents</w:t>
      </w:r>
    </w:p>
    <w:p>
      <w:pPr>
        <w:spacing w:after="300"/>
      </w:pPr>
      <w:r>
        <w:rPr>
          <w:color w:val="78909C"/>
          <w:sz w:val="18"/>
        </w:rPr>
        <w:t>Right-click the TOC and select "Update Field" to refresh page numbers</w:t>
      </w:r>
    </w:p>
    <w:p>
      <w:r>
        <w:fldChar w:fldCharType="begin"/>
      </w:r>
      <w:r>
        <w:instrText xml:space="preserve"> TOC \o "1-2" \h \z \u </w:instrText>
      </w:r>
      <w:r>
        <w:fldChar w:fldCharType="separate"/>
      </w:r>
    </w:p>
    <w:p>
      <w:pPr>
        <w:pStyle w:val="TOC1"/>
      </w:pPr>
      <w:r>
        <w:t>1. Purpose and Vision</w:t>
      </w:r>
      <w:r>
        <w:tab/>
      </w:r>
      <w:r>
        <w:t>3</w:t>
      </w:r>
    </w:p>
    <w:p>
      <w:pPr>
        <w:pStyle w:val="TOC1"/>
      </w:pPr>
      <w:r>
        <w:t>2. Position in the DOS Architecture</w:t>
      </w:r>
      <w:r>
        <w:tab/>
      </w:r>
      <w:r>
        <w:t>3</w:t>
      </w:r>
    </w:p>
    <w:p>
      <w:pPr>
        <w:pStyle w:val="TOC1"/>
      </w:pPr>
      <w:r>
        <w:t>3. Core Objectives</w:t>
      </w:r>
      <w:r>
        <w:tab/>
      </w:r>
      <w:r>
        <w:t>4</w:t>
      </w:r>
    </w:p>
    <w:p>
      <w:pPr>
        <w:pStyle w:val="TOC1"/>
      </w:pPr>
      <w:r>
        <w:t>4. Internal Business Intelligence</w:t>
      </w:r>
      <w:r>
        <w:tab/>
      </w:r>
      <w:r>
        <w:t>4</w:t>
      </w:r>
    </w:p>
    <w:p>
      <w:pPr>
        <w:pStyle w:val="TOC2"/>
      </w:pPr>
      <w:r>
        <w:t>CRM</w:t>
      </w:r>
      <w:r>
        <w:tab/>
      </w:r>
      <w:r>
        <w:t>4</w:t>
      </w:r>
    </w:p>
    <w:p>
      <w:pPr>
        <w:pStyle w:val="TOC2"/>
      </w:pPr>
      <w:r>
        <w:t>Sales</w:t>
      </w:r>
      <w:r>
        <w:tab/>
      </w:r>
      <w:r>
        <w:t>5</w:t>
      </w:r>
    </w:p>
    <w:p>
      <w:pPr>
        <w:pStyle w:val="TOC2"/>
      </w:pPr>
      <w:r>
        <w:t>Customers</w:t>
      </w:r>
      <w:r>
        <w:tab/>
      </w:r>
      <w:r>
        <w:t>5</w:t>
      </w:r>
    </w:p>
    <w:p>
      <w:pPr>
        <w:pStyle w:val="TOC2"/>
      </w:pPr>
      <w:r>
        <w:t>Projects</w:t>
      </w:r>
      <w:r>
        <w:tab/>
      </w:r>
      <w:r>
        <w:t>5</w:t>
      </w:r>
    </w:p>
    <w:p>
      <w:pPr>
        <w:pStyle w:val="TOC2"/>
      </w:pPr>
      <w:r>
        <w:t>Procurement</w:t>
      </w:r>
      <w:r>
        <w:tab/>
      </w:r>
      <w:r>
        <w:t>5</w:t>
      </w:r>
    </w:p>
    <w:p>
      <w:pPr>
        <w:pStyle w:val="TOC2"/>
      </w:pPr>
      <w:r>
        <w:t>Finance</w:t>
      </w:r>
      <w:r>
        <w:tab/>
      </w:r>
      <w:r>
        <w:t>6</w:t>
      </w:r>
    </w:p>
    <w:p>
      <w:pPr>
        <w:pStyle w:val="TOC2"/>
      </w:pPr>
      <w:r>
        <w:t>HR</w:t>
      </w:r>
      <w:r>
        <w:tab/>
      </w:r>
      <w:r>
        <w:t>6</w:t>
      </w:r>
    </w:p>
    <w:p>
      <w:pPr>
        <w:pStyle w:val="TOC1"/>
      </w:pPr>
      <w:r>
        <w:t>5. External Business Intelligence</w:t>
      </w:r>
      <w:r>
        <w:tab/>
      </w:r>
      <w:r>
        <w:t>6</w:t>
      </w:r>
    </w:p>
    <w:p>
      <w:pPr>
        <w:pStyle w:val="TOC1"/>
      </w:pPr>
      <w:r>
        <w:t>6. Opportunity Engine</w:t>
      </w:r>
      <w:r>
        <w:tab/>
      </w:r>
      <w:r>
        <w:t>7</w:t>
      </w:r>
    </w:p>
    <w:p>
      <w:pPr>
        <w:pStyle w:val="TOC1"/>
      </w:pPr>
      <w:r>
        <w:t>7. Predictive Intelligence</w:t>
      </w:r>
      <w:r>
        <w:tab/>
      </w:r>
      <w:r>
        <w:t>7</w:t>
      </w:r>
    </w:p>
    <w:p>
      <w:pPr>
        <w:pStyle w:val="TOC1"/>
      </w:pPr>
      <w:r>
        <w:t>8. AI Recommendations</w:t>
      </w:r>
      <w:r>
        <w:tab/>
      </w:r>
      <w:r>
        <w:t>8</w:t>
      </w:r>
    </w:p>
    <w:p>
      <w:pPr>
        <w:pStyle w:val="TOC1"/>
      </w:pPr>
      <w:r>
        <w:t>9. CEO Daily Briefing</w:t>
      </w:r>
      <w:r>
        <w:tab/>
      </w:r>
      <w:r>
        <w:t>8</w:t>
      </w:r>
    </w:p>
    <w:p>
      <w:pPr>
        <w:pStyle w:val="TOC1"/>
      </w:pPr>
      <w:r>
        <w:t>10. Executive Alerts and Escalation</w:t>
      </w:r>
      <w:r>
        <w:tab/>
      </w:r>
      <w:r>
        <w:t>9</w:t>
      </w:r>
    </w:p>
    <w:p>
      <w:pPr>
        <w:pStyle w:val="TOC1"/>
      </w:pPr>
      <w:r>
        <w:t>11. AI Learning Engine</w:t>
      </w:r>
      <w:r>
        <w:tab/>
      </w:r>
      <w:r>
        <w:t>10</w:t>
      </w:r>
    </w:p>
    <w:p>
      <w:pPr>
        <w:pStyle w:val="TOC1"/>
      </w:pPr>
      <w:r>
        <w:t>12. Data Quality and Source of Truth</w:t>
      </w:r>
      <w:r>
        <w:tab/>
      </w:r>
      <w:r>
        <w:t>10</w:t>
      </w:r>
    </w:p>
    <w:p>
      <w:pPr>
        <w:pStyle w:val="TOC1"/>
      </w:pPr>
      <w:r>
        <w:t>13. Governance: Human-in-the-Loop</w:t>
      </w:r>
      <w:r>
        <w:tab/>
      </w:r>
      <w:r>
        <w:t>11</w:t>
      </w:r>
    </w:p>
    <w:p>
      <w:pPr>
        <w:pStyle w:val="TOC1"/>
      </w:pPr>
      <w:r>
        <w:t>14. Access Control and Data Security</w:t>
      </w:r>
      <w:r>
        <w:tab/>
      </w:r>
      <w:r>
        <w:t>12</w:t>
      </w:r>
    </w:p>
    <w:p>
      <w:pPr>
        <w:pStyle w:val="TOC1"/>
      </w:pPr>
      <w:r>
        <w:t>15. Module Success Metrics</w:t>
      </w:r>
      <w:r>
        <w:tab/>
      </w:r>
      <w:r>
        <w:t>12</w:t>
      </w:r>
    </w:p>
    <w:p>
      <w:pPr>
        <w:pStyle w:val="TOC1"/>
      </w:pPr>
      <w:r>
        <w:t>16. Phasing Roadmap: Minimum Viable RGI-AI</w:t>
      </w:r>
      <w:r>
        <w:tab/>
      </w:r>
      <w:r>
        <w:t>13</w:t>
      </w:r>
    </w:p>
    <w:p>
      <w:pPr>
        <w:pStyle w:val="TOC1"/>
      </w:pPr>
      <w:r>
        <w:t>17. Integration</w:t>
      </w:r>
      <w:r>
        <w:tab/>
      </w:r>
      <w:r>
        <w:t>14</w:t>
      </w:r>
    </w:p>
    <w:p>
      <w:pPr>
        <w:pStyle w:val="TOC1"/>
      </w:pPr>
      <w:r>
        <w:t>18. Core Design Principles</w:t>
      </w:r>
      <w:r>
        <w:tab/>
      </w:r>
      <w:r>
        <w:t>14</w:t>
      </w:r>
    </w:p>
    <w:p>
      <w:pPr>
        <w:pStyle w:val="TOC1"/>
      </w:pPr>
      <w:r>
        <w:t>19. Version Notes</w:t>
      </w:r>
      <w:r>
        <w:tab/>
      </w:r>
      <w:r>
        <w:t>15</w:t>
      </w:r>
    </w:p>
    <w:p>
      <w:r>
        <w:fldChar w:fldCharType="end"/>
      </w:r>
    </w:p>
    <w:p>
      <w:pPr>
        <w:sectPr>
          <w:type w:val="nextPage"/>
          <w:pgSz w:w="11906" w:h="16838"/>
          <w:pgMar w:top="1800" w:right="1440" w:bottom="1440" w:left="1440" w:header="720" w:footer="720"/>
        </w:sectPr>
      </w:pPr>
    </w:p>
    <w:p>
      <w:pPr>
        <w:pStyle w:val="Heading1"/>
      </w:pPr>
      <w:r>
        <w:t>1. Purpose and Vision</w:t>
      </w:r>
    </w:p>
    <w:p>
      <w:r>
        <w:t>The Revenue &amp; Growth Intelligence AI (RGI-AI) is the strategic intelligence engine of DOS Business OS. Its primary responsibility is to continuously identify opportunities to increase revenue, improve profitability, reduce risks, and support executive decision-making.</w:t>
      </w:r>
    </w:p>
    <w:p>
      <w:r>
        <w:t>Unlike a traditional dashboard that only displays reports, the RGI-AI proactively studies AA2000's operations and recommends specific actions that management can take.</w:t>
      </w:r>
    </w:p>
    <w:p>
      <w:pPr>
        <w:pStyle w:val="Heading3"/>
      </w:pPr>
      <w:r>
        <w:t>Mission</w:t>
      </w:r>
    </w:p>
    <w:p>
      <w:r>
        <w:t>Help AA2000 make better business decisions every day using AI-driven intelligence. The AI continuously monitors the following, and converts the information into practical recommendations for management:</w:t>
      </w:r>
    </w:p>
    <w:p>
      <w:pPr>
        <w:spacing w:after="100" w:line="300" w:lineRule="auto"/>
        <w:ind w:left="500" w:hanging="260"/>
      </w:pPr>
      <w:r>
        <w:rPr>
          <w:b/>
          <w:color w:val="37474F"/>
        </w:rPr>
        <w:t xml:space="preserve">•  </w:t>
      </w:r>
      <w:r>
        <w:t>Revenue</w:t>
      </w:r>
    </w:p>
    <w:p>
      <w:pPr>
        <w:spacing w:after="100" w:line="300" w:lineRule="auto"/>
        <w:ind w:left="500" w:hanging="260"/>
      </w:pPr>
      <w:r>
        <w:rPr>
          <w:b/>
          <w:color w:val="37474F"/>
        </w:rPr>
        <w:t xml:space="preserve">•  </w:t>
      </w:r>
      <w:r>
        <w:t>Profitability</w:t>
      </w:r>
    </w:p>
    <w:p>
      <w:pPr>
        <w:spacing w:after="100" w:line="300" w:lineRule="auto"/>
        <w:ind w:left="500" w:hanging="260"/>
      </w:pPr>
      <w:r>
        <w:rPr>
          <w:b/>
          <w:color w:val="37474F"/>
        </w:rPr>
        <w:t xml:space="preserve">•  </w:t>
      </w:r>
      <w:r>
        <w:t>Customer behavior</w:t>
      </w:r>
    </w:p>
    <w:p>
      <w:pPr>
        <w:spacing w:after="100" w:line="300" w:lineRule="auto"/>
        <w:ind w:left="500" w:hanging="260"/>
      </w:pPr>
      <w:r>
        <w:rPr>
          <w:b/>
          <w:color w:val="37474F"/>
        </w:rPr>
        <w:t xml:space="preserve">•  </w:t>
      </w:r>
      <w:r>
        <w:t>Sales pipeline</w:t>
      </w:r>
    </w:p>
    <w:p>
      <w:pPr>
        <w:spacing w:after="100" w:line="300" w:lineRule="auto"/>
        <w:ind w:left="500" w:hanging="260"/>
      </w:pPr>
      <w:r>
        <w:rPr>
          <w:b/>
          <w:color w:val="37474F"/>
        </w:rPr>
        <w:t xml:space="preserve">•  </w:t>
      </w:r>
      <w:r>
        <w:t>Project performance</w:t>
      </w:r>
    </w:p>
    <w:p>
      <w:pPr>
        <w:spacing w:after="100" w:line="300" w:lineRule="auto"/>
        <w:ind w:left="500" w:hanging="260"/>
      </w:pPr>
      <w:r>
        <w:rPr>
          <w:b/>
          <w:color w:val="37474F"/>
        </w:rPr>
        <w:t xml:space="preserve">•  </w:t>
      </w:r>
      <w:r>
        <w:t>Cash flow</w:t>
      </w:r>
    </w:p>
    <w:p>
      <w:pPr>
        <w:spacing w:after="100" w:line="300" w:lineRule="auto"/>
        <w:ind w:left="500" w:hanging="260"/>
      </w:pPr>
      <w:r>
        <w:rPr>
          <w:b/>
          <w:color w:val="37474F"/>
        </w:rPr>
        <w:t xml:space="preserve">•  </w:t>
      </w:r>
      <w:r>
        <w:t>Employee productivity</w:t>
      </w:r>
    </w:p>
    <w:p>
      <w:pPr>
        <w:spacing w:after="100" w:line="300" w:lineRule="auto"/>
        <w:ind w:left="500" w:hanging="260"/>
      </w:pPr>
      <w:r>
        <w:rPr>
          <w:b/>
          <w:color w:val="37474F"/>
        </w:rPr>
        <w:t xml:space="preserve">•  </w:t>
      </w:r>
      <w:r>
        <w:t>Market opportunities</w:t>
      </w:r>
    </w:p>
    <w:p>
      <w:pPr>
        <w:spacing w:after="100" w:line="300" w:lineRule="auto"/>
        <w:ind w:left="500" w:hanging="260"/>
      </w:pPr>
      <w:r>
        <w:rPr>
          <w:b/>
          <w:color w:val="37474F"/>
        </w:rPr>
        <w:t xml:space="preserve">•  </w:t>
      </w:r>
      <w:r>
        <w:t>Business risks</w:t>
      </w:r>
    </w:p>
    <w:p>
      <w:pPr>
        <w:pStyle w:val="Heading1"/>
      </w:pPr>
      <w:r>
        <w:t>2. Position in the DOS Architecture</w:t>
      </w:r>
    </w:p>
    <w:p>
      <w:r>
        <w:t>RGI-AI sits above all operational modules. It does not replace CRM, Finance, or HR — it consumes data from all of them and acts as the strategic intelligence layer for the entire DOS Business OS.</w:t>
      </w:r>
    </w:p>
    <w:p>
      <w:pPr>
        <w:spacing w:after="200" w:line="312" w:lineRule="auto"/>
      </w:pPr>
      <w:r>
        <w:rPr>
          <w:b/>
          <w:color w:val="37474F"/>
        </w:rPr>
        <w:t xml:space="preserve">Dependency Rule — </w:t>
      </w:r>
      <w:r>
        <w:t>because RGI-AI is a consumer of operational data, it is the last module to fully activate, not the first. Deploying it before the operational modules produce clean, disciplined data will generate confident but wrong intelligence.</w:t>
      </w:r>
    </w:p>
    <w:p>
      <w:r>
        <w:t>Activation conditions for RGI-AI Phase 1:</w:t>
      </w:r>
    </w:p>
    <w:p>
      <w:pPr>
        <w:spacing w:after="100" w:line="300" w:lineRule="auto"/>
        <w:ind w:left="500" w:hanging="260"/>
      </w:pPr>
      <w:r>
        <w:rPr>
          <w:b/>
          <w:color w:val="37474F"/>
        </w:rPr>
        <w:t xml:space="preserve">•  </w:t>
      </w:r>
      <w:r>
        <w:t>Accounting &amp; Finance module live, with receivables and payables updated at least weekly.</w:t>
      </w:r>
    </w:p>
    <w:p>
      <w:pPr>
        <w:spacing w:after="100" w:line="300" w:lineRule="auto"/>
        <w:ind w:left="500" w:hanging="260"/>
      </w:pPr>
      <w:r>
        <w:rPr>
          <w:b/>
          <w:color w:val="37474F"/>
        </w:rPr>
        <w:t xml:space="preserve">•  </w:t>
      </w:r>
      <w:r>
        <w:t>CRM pipeline discipline in place — every quotation linked to an opportunity record with an owner.</w:t>
      </w:r>
    </w:p>
    <w:p>
      <w:pPr>
        <w:spacing w:after="100" w:line="300" w:lineRule="auto"/>
        <w:ind w:left="500" w:hanging="260"/>
      </w:pPr>
      <w:r>
        <w:rPr>
          <w:b/>
          <w:color w:val="37474F"/>
        </w:rPr>
        <w:t xml:space="preserve">•  </w:t>
      </w:r>
      <w:r>
        <w:t>Three to six months of accumulated operational data before any predictive feature is switched on.</w:t>
      </w:r>
    </w:p>
    <w:p>
      <w:pPr>
        <w:pStyle w:val="Heading1"/>
      </w:pPr>
      <w:r>
        <w:t>3. Core Objectives</w:t>
      </w:r>
    </w:p>
    <w:p>
      <w:r>
        <w:t>The Revenue &amp; Growth Intelligence AI shall:</w:t>
      </w:r>
    </w:p>
    <w:p>
      <w:pPr>
        <w:spacing w:after="100" w:line="300" w:lineRule="auto"/>
        <w:ind w:left="500" w:hanging="260"/>
      </w:pPr>
      <w:r>
        <w:rPr>
          <w:b/>
          <w:color w:val="37474F"/>
        </w:rPr>
        <w:t xml:space="preserve">•  </w:t>
      </w:r>
      <w:r>
        <w:t>Increase company revenue.</w:t>
      </w:r>
    </w:p>
    <w:p>
      <w:pPr>
        <w:spacing w:after="100" w:line="300" w:lineRule="auto"/>
        <w:ind w:left="500" w:hanging="260"/>
      </w:pPr>
      <w:r>
        <w:rPr>
          <w:b/>
          <w:color w:val="37474F"/>
        </w:rPr>
        <w:t xml:space="preserve">•  </w:t>
      </w:r>
      <w:r>
        <w:t>Improve gross profit.</w:t>
      </w:r>
    </w:p>
    <w:p>
      <w:pPr>
        <w:spacing w:after="100" w:line="300" w:lineRule="auto"/>
        <w:ind w:left="500" w:hanging="260"/>
      </w:pPr>
      <w:r>
        <w:rPr>
          <w:b/>
          <w:color w:val="37474F"/>
        </w:rPr>
        <w:t xml:space="preserve">•  </w:t>
      </w:r>
      <w:r>
        <w:t>Protect cash flow.</w:t>
      </w:r>
    </w:p>
    <w:p>
      <w:pPr>
        <w:spacing w:after="100" w:line="300" w:lineRule="auto"/>
        <w:ind w:left="500" w:hanging="260"/>
      </w:pPr>
      <w:r>
        <w:rPr>
          <w:b/>
          <w:color w:val="37474F"/>
        </w:rPr>
        <w:t xml:space="preserve">•  </w:t>
      </w:r>
      <w:r>
        <w:t>Detect business risks early.</w:t>
      </w:r>
    </w:p>
    <w:p>
      <w:pPr>
        <w:spacing w:after="100" w:line="300" w:lineRule="auto"/>
        <w:ind w:left="500" w:hanging="260"/>
      </w:pPr>
      <w:r>
        <w:rPr>
          <w:b/>
          <w:color w:val="37474F"/>
        </w:rPr>
        <w:t xml:space="preserve">•  </w:t>
      </w:r>
      <w:r>
        <w:t>Recommend new opportunities.</w:t>
      </w:r>
    </w:p>
    <w:p>
      <w:pPr>
        <w:spacing w:after="100" w:line="300" w:lineRule="auto"/>
        <w:ind w:left="500" w:hanging="260"/>
      </w:pPr>
      <w:r>
        <w:rPr>
          <w:b/>
          <w:color w:val="37474F"/>
        </w:rPr>
        <w:t xml:space="preserve">•  </w:t>
      </w:r>
      <w:r>
        <w:t>Support executive planning.</w:t>
      </w:r>
    </w:p>
    <w:p>
      <w:pPr>
        <w:spacing w:after="100" w:line="300" w:lineRule="auto"/>
        <w:ind w:left="500" w:hanging="260"/>
      </w:pPr>
      <w:r>
        <w:rPr>
          <w:b/>
          <w:color w:val="37474F"/>
        </w:rPr>
        <w:t xml:space="preserve">•  </w:t>
      </w:r>
      <w:r>
        <w:t>Reduce manual business analysis.</w:t>
      </w:r>
    </w:p>
    <w:p>
      <w:pPr>
        <w:spacing w:after="100" w:line="300" w:lineRule="auto"/>
        <w:ind w:left="500" w:hanging="260"/>
      </w:pPr>
      <w:r>
        <w:rPr>
          <w:b/>
          <w:color w:val="37474F"/>
        </w:rPr>
        <w:t xml:space="preserve">•  </w:t>
      </w:r>
      <w:r>
        <w:t>Learn continuously from company data.</w:t>
      </w:r>
    </w:p>
    <w:p>
      <w:pPr>
        <w:pStyle w:val="Heading1"/>
      </w:pPr>
      <w:r>
        <w:t>4. Internal Business Intelligence</w:t>
      </w:r>
    </w:p>
    <w:p>
      <w:r>
        <w:t>The AI analyzes data produced by every operational module:</w:t>
      </w:r>
    </w:p>
    <w:p>
      <w:pPr>
        <w:pStyle w:val="Heading2"/>
      </w:pPr>
      <w:r>
        <w:t>CRM</w:t>
      </w:r>
    </w:p>
    <w:p>
      <w:pPr>
        <w:spacing w:after="100" w:line="300" w:lineRule="auto"/>
        <w:ind w:left="500" w:hanging="260"/>
      </w:pPr>
      <w:r>
        <w:rPr>
          <w:b/>
          <w:color w:val="37474F"/>
        </w:rPr>
        <w:t xml:space="preserve">•  </w:t>
      </w:r>
      <w:r>
        <w:t>Lead generation</w:t>
      </w:r>
    </w:p>
    <w:p>
      <w:pPr>
        <w:spacing w:after="100" w:line="300" w:lineRule="auto"/>
        <w:ind w:left="500" w:hanging="260"/>
      </w:pPr>
      <w:r>
        <w:rPr>
          <w:b/>
          <w:color w:val="37474F"/>
        </w:rPr>
        <w:t xml:space="preserve">•  </w:t>
      </w:r>
      <w:r>
        <w:t>Lead response time</w:t>
      </w:r>
    </w:p>
    <w:p>
      <w:pPr>
        <w:spacing w:after="100" w:line="300" w:lineRule="auto"/>
        <w:ind w:left="500" w:hanging="260"/>
      </w:pPr>
      <w:r>
        <w:rPr>
          <w:b/>
          <w:color w:val="37474F"/>
        </w:rPr>
        <w:t xml:space="preserve">•  </w:t>
      </w:r>
      <w:r>
        <w:t>Win/Loss ratio</w:t>
      </w:r>
    </w:p>
    <w:p>
      <w:pPr>
        <w:spacing w:after="100" w:line="300" w:lineRule="auto"/>
        <w:ind w:left="500" w:hanging="260"/>
      </w:pPr>
      <w:r>
        <w:rPr>
          <w:b/>
          <w:color w:val="37474F"/>
        </w:rPr>
        <w:t xml:space="preserve">•  </w:t>
      </w:r>
      <w:r>
        <w:t>Sales pipeline</w:t>
      </w:r>
    </w:p>
    <w:p>
      <w:pPr>
        <w:spacing w:after="100" w:line="300" w:lineRule="auto"/>
        <w:ind w:left="500" w:hanging="260"/>
      </w:pPr>
      <w:r>
        <w:rPr>
          <w:b/>
          <w:color w:val="37474F"/>
        </w:rPr>
        <w:t xml:space="preserve">•  </w:t>
      </w:r>
      <w:r>
        <w:t>Conversion rates</w:t>
      </w:r>
    </w:p>
    <w:p>
      <w:pPr>
        <w:spacing w:after="100" w:line="300" w:lineRule="auto"/>
        <w:ind w:left="500" w:hanging="260"/>
      </w:pPr>
      <w:r>
        <w:rPr>
          <w:b/>
          <w:color w:val="37474F"/>
        </w:rPr>
        <w:t xml:space="preserve">•  </w:t>
      </w:r>
      <w:r>
        <w:t>Customer engagement</w:t>
      </w:r>
    </w:p>
    <w:p>
      <w:pPr>
        <w:pStyle w:val="Heading2"/>
      </w:pPr>
      <w:r>
        <w:t>Sales</w:t>
      </w:r>
    </w:p>
    <w:p>
      <w:pPr>
        <w:spacing w:after="100" w:line="300" w:lineRule="auto"/>
        <w:ind w:left="500" w:hanging="260"/>
      </w:pPr>
      <w:r>
        <w:rPr>
          <w:b/>
          <w:color w:val="37474F"/>
        </w:rPr>
        <w:t xml:space="preserve">•  </w:t>
      </w:r>
      <w:r>
        <w:t>Sales by employee</w:t>
      </w:r>
    </w:p>
    <w:p>
      <w:pPr>
        <w:spacing w:after="100" w:line="300" w:lineRule="auto"/>
        <w:ind w:left="500" w:hanging="260"/>
      </w:pPr>
      <w:r>
        <w:rPr>
          <w:b/>
          <w:color w:val="37474F"/>
        </w:rPr>
        <w:t xml:space="preserve">•  </w:t>
      </w:r>
      <w:r>
        <w:t>Sales by branch</w:t>
      </w:r>
    </w:p>
    <w:p>
      <w:pPr>
        <w:spacing w:after="100" w:line="300" w:lineRule="auto"/>
        <w:ind w:left="500" w:hanging="260"/>
      </w:pPr>
      <w:r>
        <w:rPr>
          <w:b/>
          <w:color w:val="37474F"/>
        </w:rPr>
        <w:t xml:space="preserve">•  </w:t>
      </w:r>
      <w:r>
        <w:t>Sales by region</w:t>
      </w:r>
    </w:p>
    <w:p>
      <w:pPr>
        <w:spacing w:after="100" w:line="300" w:lineRule="auto"/>
        <w:ind w:left="500" w:hanging="260"/>
      </w:pPr>
      <w:r>
        <w:rPr>
          <w:b/>
          <w:color w:val="37474F"/>
        </w:rPr>
        <w:t xml:space="preserve">•  </w:t>
      </w:r>
      <w:r>
        <w:t>Sales trends</w:t>
      </w:r>
    </w:p>
    <w:p>
      <w:pPr>
        <w:spacing w:after="100" w:line="300" w:lineRule="auto"/>
        <w:ind w:left="500" w:hanging="260"/>
      </w:pPr>
      <w:r>
        <w:rPr>
          <w:b/>
          <w:color w:val="37474F"/>
        </w:rPr>
        <w:t xml:space="preserve">•  </w:t>
      </w:r>
      <w:r>
        <w:t>Average deal size</w:t>
      </w:r>
    </w:p>
    <w:p>
      <w:pPr>
        <w:spacing w:after="100" w:line="300" w:lineRule="auto"/>
        <w:ind w:left="500" w:hanging="260"/>
      </w:pPr>
      <w:r>
        <w:rPr>
          <w:b/>
          <w:color w:val="37474F"/>
        </w:rPr>
        <w:t xml:space="preserve">•  </w:t>
      </w:r>
      <w:r>
        <w:t>Sales forecast</w:t>
      </w:r>
    </w:p>
    <w:p>
      <w:pPr>
        <w:pStyle w:val="Heading2"/>
      </w:pPr>
      <w:r>
        <w:t>Customers</w:t>
      </w:r>
    </w:p>
    <w:p>
      <w:pPr>
        <w:spacing w:after="100" w:line="300" w:lineRule="auto"/>
        <w:ind w:left="500" w:hanging="260"/>
      </w:pPr>
      <w:r>
        <w:rPr>
          <w:b/>
          <w:color w:val="37474F"/>
        </w:rPr>
        <w:t xml:space="preserve">•  </w:t>
      </w:r>
      <w:r>
        <w:t>Customer lifetime value</w:t>
      </w:r>
    </w:p>
    <w:p>
      <w:pPr>
        <w:spacing w:after="100" w:line="300" w:lineRule="auto"/>
        <w:ind w:left="500" w:hanging="260"/>
      </w:pPr>
      <w:r>
        <w:rPr>
          <w:b/>
          <w:color w:val="37474F"/>
        </w:rPr>
        <w:t xml:space="preserve">•  </w:t>
      </w:r>
      <w:r>
        <w:t>Repeat purchases</w:t>
      </w:r>
    </w:p>
    <w:p>
      <w:pPr>
        <w:spacing w:after="100" w:line="300" w:lineRule="auto"/>
        <w:ind w:left="500" w:hanging="260"/>
      </w:pPr>
      <w:r>
        <w:rPr>
          <w:b/>
          <w:color w:val="37474F"/>
        </w:rPr>
        <w:t xml:space="preserve">•  </w:t>
      </w:r>
      <w:r>
        <w:t>Customer profitability</w:t>
      </w:r>
    </w:p>
    <w:p>
      <w:pPr>
        <w:spacing w:after="100" w:line="300" w:lineRule="auto"/>
        <w:ind w:left="500" w:hanging="260"/>
      </w:pPr>
      <w:r>
        <w:rPr>
          <w:b/>
          <w:color w:val="37474F"/>
        </w:rPr>
        <w:t xml:space="preserve">•  </w:t>
      </w:r>
      <w:r>
        <w:t>Payment behavior</w:t>
      </w:r>
    </w:p>
    <w:p>
      <w:pPr>
        <w:spacing w:after="100" w:line="300" w:lineRule="auto"/>
        <w:ind w:left="500" w:hanging="260"/>
      </w:pPr>
      <w:r>
        <w:rPr>
          <w:b/>
          <w:color w:val="37474F"/>
        </w:rPr>
        <w:t xml:space="preserve">•  </w:t>
      </w:r>
      <w:r>
        <w:t>Churn risk</w:t>
      </w:r>
    </w:p>
    <w:p>
      <w:pPr>
        <w:spacing w:after="100" w:line="300" w:lineRule="auto"/>
        <w:ind w:left="500" w:hanging="260"/>
      </w:pPr>
      <w:r>
        <w:rPr>
          <w:b/>
          <w:color w:val="37474F"/>
        </w:rPr>
        <w:t xml:space="preserve">•  </w:t>
      </w:r>
      <w:r>
        <w:t>Cross-sell opportunities</w:t>
      </w:r>
    </w:p>
    <w:p>
      <w:pPr>
        <w:spacing w:after="100" w:line="300" w:lineRule="auto"/>
        <w:ind w:left="500" w:hanging="260"/>
      </w:pPr>
      <w:r>
        <w:rPr>
          <w:b/>
          <w:color w:val="37474F"/>
        </w:rPr>
        <w:t xml:space="preserve">•  </w:t>
      </w:r>
      <w:r>
        <w:t>Upsell opportunities</w:t>
      </w:r>
    </w:p>
    <w:p>
      <w:pPr>
        <w:pStyle w:val="Heading2"/>
      </w:pPr>
      <w:r>
        <w:t>Projects</w:t>
      </w:r>
    </w:p>
    <w:p>
      <w:pPr>
        <w:spacing w:after="100" w:line="300" w:lineRule="auto"/>
        <w:ind w:left="500" w:hanging="260"/>
      </w:pPr>
      <w:r>
        <w:rPr>
          <w:b/>
          <w:color w:val="37474F"/>
        </w:rPr>
        <w:t xml:space="preserve">•  </w:t>
      </w:r>
      <w:r>
        <w:t>Project profitability</w:t>
      </w:r>
    </w:p>
    <w:p>
      <w:pPr>
        <w:spacing w:after="100" w:line="300" w:lineRule="auto"/>
        <w:ind w:left="500" w:hanging="260"/>
      </w:pPr>
      <w:r>
        <w:rPr>
          <w:b/>
          <w:color w:val="37474F"/>
        </w:rPr>
        <w:t xml:space="preserve">•  </w:t>
      </w:r>
      <w:r>
        <w:t>Budget vs. actual</w:t>
      </w:r>
    </w:p>
    <w:p>
      <w:pPr>
        <w:spacing w:after="100" w:line="300" w:lineRule="auto"/>
        <w:ind w:left="500" w:hanging="260"/>
      </w:pPr>
      <w:r>
        <w:rPr>
          <w:b/>
          <w:color w:val="37474F"/>
        </w:rPr>
        <w:t xml:space="preserve">•  </w:t>
      </w:r>
      <w:r>
        <w:t>Delays</w:t>
      </w:r>
    </w:p>
    <w:p>
      <w:pPr>
        <w:spacing w:after="100" w:line="300" w:lineRule="auto"/>
        <w:ind w:left="500" w:hanging="260"/>
      </w:pPr>
      <w:r>
        <w:rPr>
          <w:b/>
          <w:color w:val="37474F"/>
        </w:rPr>
        <w:t xml:space="preserve">•  </w:t>
      </w:r>
      <w:r>
        <w:t>Resource utilization</w:t>
      </w:r>
    </w:p>
    <w:p>
      <w:pPr>
        <w:spacing w:after="100" w:line="300" w:lineRule="auto"/>
        <w:ind w:left="500" w:hanging="260"/>
      </w:pPr>
      <w:r>
        <w:rPr>
          <w:b/>
          <w:color w:val="37474F"/>
        </w:rPr>
        <w:t xml:space="preserve">•  </w:t>
      </w:r>
      <w:r>
        <w:t>Labor efficiency</w:t>
      </w:r>
    </w:p>
    <w:p>
      <w:pPr>
        <w:pStyle w:val="Heading2"/>
      </w:pPr>
      <w:r>
        <w:t>Procurement</w:t>
      </w:r>
    </w:p>
    <w:p>
      <w:pPr>
        <w:spacing w:after="100" w:line="300" w:lineRule="auto"/>
        <w:ind w:left="500" w:hanging="260"/>
      </w:pPr>
      <w:r>
        <w:rPr>
          <w:b/>
          <w:color w:val="37474F"/>
        </w:rPr>
        <w:t xml:space="preserve">•  </w:t>
      </w:r>
      <w:r>
        <w:t>Supplier performance</w:t>
      </w:r>
    </w:p>
    <w:p>
      <w:pPr>
        <w:spacing w:after="100" w:line="300" w:lineRule="auto"/>
        <w:ind w:left="500" w:hanging="260"/>
      </w:pPr>
      <w:r>
        <w:rPr>
          <w:b/>
          <w:color w:val="37474F"/>
        </w:rPr>
        <w:t xml:space="preserve">•  </w:t>
      </w:r>
      <w:r>
        <w:t>Price movements</w:t>
      </w:r>
    </w:p>
    <w:p>
      <w:pPr>
        <w:spacing w:after="100" w:line="300" w:lineRule="auto"/>
        <w:ind w:left="500" w:hanging="260"/>
      </w:pPr>
      <w:r>
        <w:rPr>
          <w:b/>
          <w:color w:val="37474F"/>
        </w:rPr>
        <w:t xml:space="preserve">•  </w:t>
      </w:r>
      <w:r>
        <w:t>Delivery performance</w:t>
      </w:r>
    </w:p>
    <w:p>
      <w:pPr>
        <w:spacing w:after="100" w:line="300" w:lineRule="auto"/>
        <w:ind w:left="500" w:hanging="260"/>
      </w:pPr>
      <w:r>
        <w:rPr>
          <w:b/>
          <w:color w:val="37474F"/>
        </w:rPr>
        <w:t xml:space="preserve">•  </w:t>
      </w:r>
      <w:r>
        <w:t>Procurement savings</w:t>
      </w:r>
    </w:p>
    <w:p>
      <w:pPr>
        <w:spacing w:after="100" w:line="300" w:lineRule="auto"/>
        <w:ind w:left="500" w:hanging="260"/>
      </w:pPr>
      <w:r>
        <w:rPr>
          <w:b/>
          <w:color w:val="37474F"/>
        </w:rPr>
        <w:t xml:space="preserve">•  </w:t>
      </w:r>
      <w:r>
        <w:t>Supplier risks</w:t>
      </w:r>
    </w:p>
    <w:p>
      <w:pPr>
        <w:pStyle w:val="Heading2"/>
      </w:pPr>
      <w:r>
        <w:t>Finance</w:t>
      </w:r>
    </w:p>
    <w:p>
      <w:pPr>
        <w:spacing w:after="100" w:line="300" w:lineRule="auto"/>
        <w:ind w:left="500" w:hanging="260"/>
      </w:pPr>
      <w:r>
        <w:rPr>
          <w:b/>
          <w:color w:val="37474F"/>
        </w:rPr>
        <w:t xml:space="preserve">•  </w:t>
      </w:r>
      <w:r>
        <w:t>Revenue</w:t>
      </w:r>
    </w:p>
    <w:p>
      <w:pPr>
        <w:spacing w:after="100" w:line="300" w:lineRule="auto"/>
        <w:ind w:left="500" w:hanging="260"/>
      </w:pPr>
      <w:r>
        <w:rPr>
          <w:b/>
          <w:color w:val="37474F"/>
        </w:rPr>
        <w:t xml:space="preserve">•  </w:t>
      </w:r>
      <w:r>
        <w:t>Gross profit</w:t>
      </w:r>
    </w:p>
    <w:p>
      <w:pPr>
        <w:spacing w:after="100" w:line="300" w:lineRule="auto"/>
        <w:ind w:left="500" w:hanging="260"/>
      </w:pPr>
      <w:r>
        <w:rPr>
          <w:b/>
          <w:color w:val="37474F"/>
        </w:rPr>
        <w:t xml:space="preserve">•  </w:t>
      </w:r>
      <w:r>
        <w:t>Net profit</w:t>
      </w:r>
    </w:p>
    <w:p>
      <w:pPr>
        <w:spacing w:after="100" w:line="300" w:lineRule="auto"/>
        <w:ind w:left="500" w:hanging="260"/>
      </w:pPr>
      <w:r>
        <w:rPr>
          <w:b/>
          <w:color w:val="37474F"/>
        </w:rPr>
        <w:t xml:space="preserve">•  </w:t>
      </w:r>
      <w:r>
        <w:t>Cash flow</w:t>
      </w:r>
    </w:p>
    <w:p>
      <w:pPr>
        <w:spacing w:after="100" w:line="300" w:lineRule="auto"/>
        <w:ind w:left="500" w:hanging="260"/>
      </w:pPr>
      <w:r>
        <w:rPr>
          <w:b/>
          <w:color w:val="37474F"/>
        </w:rPr>
        <w:t xml:space="preserve">•  </w:t>
      </w:r>
      <w:r>
        <w:t>Accounts Receivable</w:t>
      </w:r>
    </w:p>
    <w:p>
      <w:pPr>
        <w:spacing w:after="100" w:line="300" w:lineRule="auto"/>
        <w:ind w:left="500" w:hanging="260"/>
      </w:pPr>
      <w:r>
        <w:rPr>
          <w:b/>
          <w:color w:val="37474F"/>
        </w:rPr>
        <w:t xml:space="preserve">•  </w:t>
      </w:r>
      <w:r>
        <w:t>Accounts Payable</w:t>
      </w:r>
    </w:p>
    <w:p>
      <w:pPr>
        <w:spacing w:after="100" w:line="300" w:lineRule="auto"/>
        <w:ind w:left="500" w:hanging="260"/>
      </w:pPr>
      <w:r>
        <w:rPr>
          <w:b/>
          <w:color w:val="37474F"/>
        </w:rPr>
        <w:t xml:space="preserve">•  </w:t>
      </w:r>
      <w:r>
        <w:t>Budget utilization</w:t>
      </w:r>
    </w:p>
    <w:p>
      <w:pPr>
        <w:pStyle w:val="Heading2"/>
      </w:pPr>
      <w:r>
        <w:t>HR</w:t>
      </w:r>
    </w:p>
    <w:p>
      <w:pPr>
        <w:spacing w:after="100" w:line="300" w:lineRule="auto"/>
        <w:ind w:left="500" w:hanging="260"/>
      </w:pPr>
      <w:r>
        <w:rPr>
          <w:b/>
          <w:color w:val="37474F"/>
        </w:rPr>
        <w:t xml:space="preserve">•  </w:t>
      </w:r>
      <w:r>
        <w:t>Employee KPIs</w:t>
      </w:r>
    </w:p>
    <w:p>
      <w:pPr>
        <w:spacing w:after="100" w:line="300" w:lineRule="auto"/>
        <w:ind w:left="500" w:hanging="260"/>
      </w:pPr>
      <w:r>
        <w:rPr>
          <w:b/>
          <w:color w:val="37474F"/>
        </w:rPr>
        <w:t xml:space="preserve">•  </w:t>
      </w:r>
      <w:r>
        <w:t>Productivity</w:t>
      </w:r>
    </w:p>
    <w:p>
      <w:pPr>
        <w:spacing w:after="100" w:line="300" w:lineRule="auto"/>
        <w:ind w:left="500" w:hanging="260"/>
      </w:pPr>
      <w:r>
        <w:rPr>
          <w:b/>
          <w:color w:val="37474F"/>
        </w:rPr>
        <w:t xml:space="preserve">•  </w:t>
      </w:r>
      <w:r>
        <w:t>Attendance trends</w:t>
      </w:r>
    </w:p>
    <w:p>
      <w:pPr>
        <w:spacing w:after="100" w:line="300" w:lineRule="auto"/>
        <w:ind w:left="500" w:hanging="260"/>
      </w:pPr>
      <w:r>
        <w:rPr>
          <w:b/>
          <w:color w:val="37474F"/>
        </w:rPr>
        <w:t xml:space="preserve">•  </w:t>
      </w:r>
      <w:r>
        <w:t>Training needs</w:t>
      </w:r>
    </w:p>
    <w:p>
      <w:pPr>
        <w:spacing w:after="100" w:line="300" w:lineRule="auto"/>
        <w:ind w:left="500" w:hanging="260"/>
      </w:pPr>
      <w:r>
        <w:rPr>
          <w:b/>
          <w:color w:val="37474F"/>
        </w:rPr>
        <w:t xml:space="preserve">•  </w:t>
      </w:r>
      <w:r>
        <w:t>High performer identification</w:t>
      </w:r>
    </w:p>
    <w:p>
      <w:pPr>
        <w:spacing w:after="100" w:line="300" w:lineRule="auto"/>
        <w:ind w:left="500" w:hanging="260"/>
      </w:pPr>
      <w:r>
        <w:rPr>
          <w:b/>
          <w:color w:val="37474F"/>
        </w:rPr>
        <w:t xml:space="preserve">•  </w:t>
      </w:r>
      <w:r>
        <w:t>Turnover risk</w:t>
      </w:r>
    </w:p>
    <w:p>
      <w:pPr>
        <w:pStyle w:val="Heading1"/>
      </w:pPr>
      <w:r>
        <w:t>5. External Business Intelligence</w:t>
      </w:r>
    </w:p>
    <w:p>
      <w:r>
        <w:t>The AI continuously studies external information such as:</w:t>
      </w:r>
    </w:p>
    <w:p>
      <w:pPr>
        <w:spacing w:after="100" w:line="300" w:lineRule="auto"/>
        <w:ind w:left="500" w:hanging="260"/>
      </w:pPr>
      <w:r>
        <w:rPr>
          <w:b/>
          <w:color w:val="37474F"/>
        </w:rPr>
        <w:t xml:space="preserve">•  </w:t>
      </w:r>
      <w:r>
        <w:t>Industry trends</w:t>
      </w:r>
    </w:p>
    <w:p>
      <w:pPr>
        <w:spacing w:after="100" w:line="300" w:lineRule="auto"/>
        <w:ind w:left="500" w:hanging="260"/>
      </w:pPr>
      <w:r>
        <w:rPr>
          <w:b/>
          <w:color w:val="37474F"/>
        </w:rPr>
        <w:t xml:space="preserve">•  </w:t>
      </w:r>
      <w:r>
        <w:t>Competitor activities</w:t>
      </w:r>
    </w:p>
    <w:p>
      <w:pPr>
        <w:spacing w:after="100" w:line="300" w:lineRule="auto"/>
        <w:ind w:left="500" w:hanging="260"/>
      </w:pPr>
      <w:r>
        <w:rPr>
          <w:b/>
          <w:color w:val="37474F"/>
        </w:rPr>
        <w:t xml:space="preserve">•  </w:t>
      </w:r>
      <w:r>
        <w:t>Government projects and tenders</w:t>
      </w:r>
    </w:p>
    <w:p>
      <w:pPr>
        <w:spacing w:after="100" w:line="300" w:lineRule="auto"/>
        <w:ind w:left="500" w:hanging="260"/>
      </w:pPr>
      <w:r>
        <w:rPr>
          <w:b/>
          <w:color w:val="37474F"/>
        </w:rPr>
        <w:t xml:space="preserve">•  </w:t>
      </w:r>
      <w:r>
        <w:t>Construction industry growth</w:t>
      </w:r>
    </w:p>
    <w:p>
      <w:pPr>
        <w:spacing w:after="100" w:line="300" w:lineRule="auto"/>
        <w:ind w:left="500" w:hanging="260"/>
      </w:pPr>
      <w:r>
        <w:rPr>
          <w:b/>
          <w:color w:val="37474F"/>
        </w:rPr>
        <w:t xml:space="preserve">•  </w:t>
      </w:r>
      <w:r>
        <w:t>Fire safety regulations</w:t>
      </w:r>
    </w:p>
    <w:p>
      <w:pPr>
        <w:spacing w:after="100" w:line="300" w:lineRule="auto"/>
        <w:ind w:left="500" w:hanging="260"/>
      </w:pPr>
      <w:r>
        <w:rPr>
          <w:b/>
          <w:color w:val="37474F"/>
        </w:rPr>
        <w:t xml:space="preserve">•  </w:t>
      </w:r>
      <w:r>
        <w:t>Economic indicators</w:t>
      </w:r>
    </w:p>
    <w:p>
      <w:pPr>
        <w:spacing w:after="100" w:line="300" w:lineRule="auto"/>
        <w:ind w:left="500" w:hanging="260"/>
      </w:pPr>
      <w:r>
        <w:rPr>
          <w:b/>
          <w:color w:val="37474F"/>
        </w:rPr>
        <w:t xml:space="preserve">•  </w:t>
      </w:r>
      <w:r>
        <w:t>Material price trends</w:t>
      </w:r>
    </w:p>
    <w:p>
      <w:pPr>
        <w:spacing w:after="100" w:line="300" w:lineRule="auto"/>
        <w:ind w:left="500" w:hanging="260"/>
      </w:pPr>
      <w:r>
        <w:rPr>
          <w:b/>
          <w:color w:val="37474F"/>
        </w:rPr>
        <w:t xml:space="preserve">•  </w:t>
      </w:r>
      <w:r>
        <w:t>Supplier market conditions</w:t>
      </w:r>
    </w:p>
    <w:p>
      <w:pPr>
        <w:spacing w:after="100" w:line="300" w:lineRule="auto"/>
        <w:ind w:left="500" w:hanging="260"/>
      </w:pPr>
      <w:r>
        <w:rPr>
          <w:b/>
          <w:color w:val="37474F"/>
        </w:rPr>
        <w:t xml:space="preserve">•  </w:t>
      </w:r>
      <w:r>
        <w:t>Technology developments</w:t>
      </w:r>
    </w:p>
    <w:p>
      <w:pPr>
        <w:spacing w:after="100" w:line="300" w:lineRule="auto"/>
        <w:ind w:left="500" w:hanging="260"/>
      </w:pPr>
      <w:r>
        <w:rPr>
          <w:b/>
          <w:color w:val="37474F"/>
        </w:rPr>
        <w:t xml:space="preserve">•  </w:t>
      </w:r>
      <w:r>
        <w:t>Customer industry growth</w:t>
      </w:r>
    </w:p>
    <w:p>
      <w:pPr>
        <w:spacing w:after="200" w:line="312" w:lineRule="auto"/>
      </w:pPr>
      <w:r>
        <w:rPr>
          <w:b/>
          <w:color w:val="37474F"/>
        </w:rPr>
        <w:t xml:space="preserve">Feed Registration Rule — </w:t>
      </w:r>
      <w:r>
        <w:t>every external data source must be registered with a named owner and update frequency before use (e.g., PhilGEPS for government bids, supplier price lists for material trends, published industry indices for economic indicators). Unregistered sources must not influence recommendations. External intelligence features activate in Phase 3.</w:t>
      </w:r>
    </w:p>
    <w:p>
      <w:pPr>
        <w:pStyle w:val="Heading1"/>
      </w:pPr>
      <w:r>
        <w:t>6. Opportunity Engine</w:t>
      </w:r>
    </w:p>
    <w:p>
      <w:r>
        <w:t>Every day, the AI generates a prioritized Opportunity List. Examples:</w:t>
      </w:r>
    </w:p>
    <w:p>
      <w:pPr>
        <w:spacing w:after="100" w:line="300" w:lineRule="auto"/>
        <w:ind w:left="500" w:hanging="260"/>
      </w:pPr>
      <w:r>
        <w:rPr>
          <w:b/>
          <w:color w:val="37474F"/>
        </w:rPr>
        <w:t xml:space="preserve">•  </w:t>
      </w:r>
      <w:r>
        <w:t>Customers ready for follow-up.</w:t>
      </w:r>
    </w:p>
    <w:p>
      <w:pPr>
        <w:spacing w:after="100" w:line="300" w:lineRule="auto"/>
        <w:ind w:left="500" w:hanging="260"/>
      </w:pPr>
      <w:r>
        <w:rPr>
          <w:b/>
          <w:color w:val="37474F"/>
        </w:rPr>
        <w:t xml:space="preserve">•  </w:t>
      </w:r>
      <w:r>
        <w:t>Expiring maintenance contracts.</w:t>
      </w:r>
    </w:p>
    <w:p>
      <w:pPr>
        <w:spacing w:after="100" w:line="300" w:lineRule="auto"/>
        <w:ind w:left="500" w:hanging="260"/>
      </w:pPr>
      <w:r>
        <w:rPr>
          <w:b/>
          <w:color w:val="37474F"/>
        </w:rPr>
        <w:t xml:space="preserve">•  </w:t>
      </w:r>
      <w:r>
        <w:t>Projects with upsell potential.</w:t>
      </w:r>
    </w:p>
    <w:p>
      <w:pPr>
        <w:spacing w:after="100" w:line="300" w:lineRule="auto"/>
        <w:ind w:left="500" w:hanging="260"/>
      </w:pPr>
      <w:r>
        <w:rPr>
          <w:b/>
          <w:color w:val="37474F"/>
        </w:rPr>
        <w:t xml:space="preserve">•  </w:t>
      </w:r>
      <w:r>
        <w:t>Government bids worth pursuing.</w:t>
      </w:r>
    </w:p>
    <w:p>
      <w:pPr>
        <w:spacing w:after="100" w:line="300" w:lineRule="auto"/>
        <w:ind w:left="500" w:hanging="260"/>
      </w:pPr>
      <w:r>
        <w:rPr>
          <w:b/>
          <w:color w:val="37474F"/>
        </w:rPr>
        <w:t xml:space="preserve">•  </w:t>
      </w:r>
      <w:r>
        <w:t>New market opportunities.</w:t>
      </w:r>
    </w:p>
    <w:p>
      <w:pPr>
        <w:spacing w:after="100" w:line="300" w:lineRule="auto"/>
        <w:ind w:left="500" w:hanging="260"/>
      </w:pPr>
      <w:r>
        <w:rPr>
          <w:b/>
          <w:color w:val="37474F"/>
        </w:rPr>
        <w:t xml:space="preserve">•  </w:t>
      </w:r>
      <w:r>
        <w:t>Customers likely to purchase again.</w:t>
      </w:r>
    </w:p>
    <w:p>
      <w:pPr>
        <w:spacing w:after="100" w:line="300" w:lineRule="auto"/>
        <w:ind w:left="500" w:hanging="260"/>
      </w:pPr>
      <w:r>
        <w:rPr>
          <w:b/>
          <w:color w:val="37474F"/>
        </w:rPr>
        <w:t xml:space="preserve">•  </w:t>
      </w:r>
      <w:r>
        <w:t>Branches with growth potential.</w:t>
      </w:r>
    </w:p>
    <w:p>
      <w:pPr>
        <w:spacing w:after="100" w:line="300" w:lineRule="auto"/>
        <w:ind w:left="500" w:hanging="260"/>
      </w:pPr>
      <w:r>
        <w:rPr>
          <w:b/>
          <w:color w:val="37474F"/>
        </w:rPr>
        <w:t xml:space="preserve">•  </w:t>
      </w:r>
      <w:r>
        <w:t>New strategic partnerships.</w:t>
      </w:r>
    </w:p>
    <w:p>
      <w:pPr>
        <w:spacing w:after="100" w:line="300" w:lineRule="auto"/>
        <w:ind w:left="500" w:hanging="260"/>
      </w:pPr>
      <w:r>
        <w:rPr>
          <w:b/>
          <w:color w:val="37474F"/>
        </w:rPr>
        <w:t xml:space="preserve">•  </w:t>
      </w:r>
      <w:r>
        <w:t>Cost-saving opportunities.</w:t>
      </w:r>
    </w:p>
    <w:p>
      <w:pPr>
        <w:spacing w:after="100" w:line="300" w:lineRule="auto"/>
        <w:ind w:left="500" w:hanging="260"/>
      </w:pPr>
      <w:r>
        <w:rPr>
          <w:b/>
          <w:color w:val="37474F"/>
        </w:rPr>
        <w:t xml:space="preserve">•  </w:t>
      </w:r>
      <w:r>
        <w:t>High-value prospects requiring executive attention.</w:t>
      </w:r>
    </w:p>
    <w:p>
      <w:r>
        <w:t>Each opportunity includes:</w:t>
      </w:r>
    </w:p>
    <w:p>
      <w:pPr>
        <w:spacing w:after="100" w:line="300" w:lineRule="auto"/>
        <w:ind w:left="500" w:hanging="260"/>
      </w:pPr>
      <w:r>
        <w:rPr>
          <w:b/>
          <w:color w:val="37474F"/>
        </w:rPr>
        <w:t xml:space="preserve">•  </w:t>
      </w:r>
      <w:r>
        <w:t>Opportunity Score</w:t>
      </w:r>
    </w:p>
    <w:p>
      <w:pPr>
        <w:spacing w:after="100" w:line="300" w:lineRule="auto"/>
        <w:ind w:left="500" w:hanging="260"/>
      </w:pPr>
      <w:r>
        <w:rPr>
          <w:b/>
          <w:color w:val="37474F"/>
        </w:rPr>
        <w:t xml:space="preserve">•  </w:t>
      </w:r>
      <w:r>
        <w:t>Estimated Revenue</w:t>
      </w:r>
    </w:p>
    <w:p>
      <w:pPr>
        <w:spacing w:after="100" w:line="300" w:lineRule="auto"/>
        <w:ind w:left="500" w:hanging="260"/>
      </w:pPr>
      <w:r>
        <w:rPr>
          <w:b/>
          <w:color w:val="37474F"/>
        </w:rPr>
        <w:t xml:space="preserve">•  </w:t>
      </w:r>
      <w:r>
        <w:t>Estimated Profit</w:t>
      </w:r>
    </w:p>
    <w:p>
      <w:pPr>
        <w:spacing w:after="100" w:line="300" w:lineRule="auto"/>
        <w:ind w:left="500" w:hanging="260"/>
      </w:pPr>
      <w:r>
        <w:rPr>
          <w:b/>
          <w:color w:val="37474F"/>
        </w:rPr>
        <w:t xml:space="preserve">•  </w:t>
      </w:r>
      <w:r>
        <w:t>Confidence Score</w:t>
      </w:r>
    </w:p>
    <w:p>
      <w:pPr>
        <w:spacing w:after="100" w:line="300" w:lineRule="auto"/>
        <w:ind w:left="500" w:hanging="260"/>
      </w:pPr>
      <w:r>
        <w:rPr>
          <w:b/>
          <w:color w:val="37474F"/>
        </w:rPr>
        <w:t xml:space="preserve">•  </w:t>
      </w:r>
      <w:r>
        <w:t>Recommended Action</w:t>
      </w:r>
    </w:p>
    <w:p>
      <w:pPr>
        <w:spacing w:after="100" w:line="300" w:lineRule="auto"/>
        <w:ind w:left="500" w:hanging="260"/>
      </w:pPr>
      <w:r>
        <w:rPr>
          <w:b/>
          <w:color w:val="37474F"/>
        </w:rPr>
        <w:t xml:space="preserve">•  </w:t>
      </w:r>
      <w:r>
        <w:t>Responsible Person</w:t>
      </w:r>
    </w:p>
    <w:p>
      <w:pPr>
        <w:spacing w:after="100" w:line="300" w:lineRule="auto"/>
        <w:ind w:left="500" w:hanging="260"/>
      </w:pPr>
      <w:r>
        <w:rPr>
          <w:b/>
          <w:color w:val="37474F"/>
        </w:rPr>
        <w:t xml:space="preserve">•  </w:t>
      </w:r>
      <w:r>
        <w:t>Due Date</w:t>
      </w:r>
    </w:p>
    <w:p>
      <w:pPr>
        <w:pStyle w:val="Heading1"/>
      </w:pPr>
      <w:r>
        <w:t>7. Predictive Intelligence</w:t>
      </w:r>
    </w:p>
    <w:p>
      <w:r>
        <w:t>Predictive features are phased according to data maturity. A prediction is only switched on when its minimum data requirement is met — otherwise the system produces confident but unreliable numbers.</w:t>
      </w:r>
    </w:p>
    <w:tbl>
      <w:tblPr>
        <w:tblW w:w="5000" w:type="pct"/>
        <w:tblBorders>
          <w:top w:val="single" w:color="37474F" w:sz="12"/>
          <w:left w:val="nil"/>
          <w:bottom w:val="single" w:color="37474F" w:sz="12"/>
          <w:right w:val="nil"/>
          <w:insideH w:val="single" w:color="CFD8DC" w:sz="4"/>
          <w:insideV w:val="nil"/>
        </w:tblBorders>
      </w:tblPr>
      <w:tblGrid>
        <w:gridCol w:w="2900"/>
        <w:gridCol w:w="900"/>
        <w:gridCol w:w="5226"/>
      </w:tblGrid>
      <w:tr>
        <w:trPr>
          <w:tblHeader/>
        </w:trPr>
        <w:tc>
          <w:tcPr>
            <w:tcW w:w="2900" w:type="dxa"/>
            <w:shd w:val="clear" w:fill="ECEFF1"/>
          </w:tcPr>
          <w:p>
            <w:pPr>
              <w:spacing w:before="50" w:after="50" w:line="264" w:lineRule="auto"/>
            </w:pPr>
            <w:r>
              <w:rPr>
                <w:b/>
                <w:color w:val="263238"/>
                <w:sz w:val="18"/>
              </w:rPr>
              <w:t>Prediction</w:t>
            </w:r>
          </w:p>
        </w:tc>
        <w:tc>
          <w:tcPr>
            <w:tcW w:w="900" w:type="dxa"/>
            <w:shd w:val="clear" w:fill="ECEFF1"/>
          </w:tcPr>
          <w:p>
            <w:pPr>
              <w:spacing w:before="50" w:after="50" w:line="264" w:lineRule="auto"/>
            </w:pPr>
            <w:r>
              <w:rPr>
                <w:b/>
                <w:color w:val="263238"/>
                <w:sz w:val="18"/>
              </w:rPr>
              <w:t>Phase</w:t>
            </w:r>
          </w:p>
        </w:tc>
        <w:tc>
          <w:tcPr>
            <w:tcW w:w="5226" w:type="dxa"/>
            <w:shd w:val="clear" w:fill="ECEFF1"/>
          </w:tcPr>
          <w:p>
            <w:pPr>
              <w:spacing w:before="50" w:after="50" w:line="264" w:lineRule="auto"/>
            </w:pPr>
            <w:r>
              <w:rPr>
                <w:b/>
                <w:color w:val="263238"/>
                <w:sz w:val="18"/>
              </w:rPr>
              <w:t>Minimum Data Requirement</w:t>
            </w:r>
          </w:p>
        </w:tc>
      </w:tr>
      <w:tr>
        <w:tc>
          <w:tcPr>
            <w:tcW w:w="2900" w:type="dxa"/>
          </w:tcPr>
          <w:p>
            <w:pPr>
              <w:spacing w:before="50" w:after="50" w:line="264" w:lineRule="auto"/>
            </w:pPr>
            <w:r>
              <w:rPr>
                <w:color w:val="546E7A"/>
                <w:sz w:val="18"/>
              </w:rPr>
              <w:t>Monthly revenue forecast</w:t>
            </w:r>
          </w:p>
        </w:tc>
        <w:tc>
          <w:tcPr>
            <w:tcW w:w="900" w:type="dxa"/>
          </w:tcPr>
          <w:p>
            <w:pPr>
              <w:spacing w:before="50" w:after="50" w:line="264" w:lineRule="auto"/>
            </w:pPr>
            <w:r>
              <w:rPr>
                <w:color w:val="546E7A"/>
                <w:sz w:val="18"/>
              </w:rPr>
              <w:t>1</w:t>
            </w:r>
          </w:p>
        </w:tc>
        <w:tc>
          <w:tcPr>
            <w:tcW w:w="5226" w:type="dxa"/>
          </w:tcPr>
          <w:p>
            <w:pPr>
              <w:spacing w:before="50" w:after="50" w:line="264" w:lineRule="auto"/>
            </w:pPr>
            <w:r>
              <w:rPr>
                <w:color w:val="546E7A"/>
                <w:sz w:val="18"/>
              </w:rPr>
              <w:t>3+ months of clean Finance and CRM data</w:t>
            </w:r>
          </w:p>
        </w:tc>
      </w:tr>
      <w:tr>
        <w:tc>
          <w:tcPr>
            <w:tcW w:w="2900" w:type="dxa"/>
          </w:tcPr>
          <w:p>
            <w:pPr>
              <w:spacing w:before="50" w:after="50" w:line="264" w:lineRule="auto"/>
            </w:pPr>
            <w:r>
              <w:rPr>
                <w:color w:val="546E7A"/>
                <w:sz w:val="18"/>
              </w:rPr>
              <w:t>Quarterly revenue forecast</w:t>
            </w:r>
          </w:p>
        </w:tc>
        <w:tc>
          <w:tcPr>
            <w:tcW w:w="900" w:type="dxa"/>
          </w:tcPr>
          <w:p>
            <w:pPr>
              <w:spacing w:before="50" w:after="50" w:line="264" w:lineRule="auto"/>
            </w:pPr>
            <w:r>
              <w:rPr>
                <w:color w:val="546E7A"/>
                <w:sz w:val="18"/>
              </w:rPr>
              <w:t>1</w:t>
            </w:r>
          </w:p>
        </w:tc>
        <w:tc>
          <w:tcPr>
            <w:tcW w:w="5226" w:type="dxa"/>
          </w:tcPr>
          <w:p>
            <w:pPr>
              <w:spacing w:before="50" w:after="50" w:line="264" w:lineRule="auto"/>
            </w:pPr>
            <w:r>
              <w:rPr>
                <w:color w:val="546E7A"/>
                <w:sz w:val="18"/>
              </w:rPr>
              <w:t>3+ months of clean Finance and CRM data</w:t>
            </w:r>
          </w:p>
        </w:tc>
      </w:tr>
      <w:tr>
        <w:tc>
          <w:tcPr>
            <w:tcW w:w="2900" w:type="dxa"/>
          </w:tcPr>
          <w:p>
            <w:pPr>
              <w:spacing w:before="50" w:after="50" w:line="264" w:lineRule="auto"/>
            </w:pPr>
            <w:r>
              <w:rPr>
                <w:color w:val="546E7A"/>
                <w:sz w:val="18"/>
              </w:rPr>
              <w:t>Cash flow projection</w:t>
            </w:r>
          </w:p>
        </w:tc>
        <w:tc>
          <w:tcPr>
            <w:tcW w:w="900" w:type="dxa"/>
          </w:tcPr>
          <w:p>
            <w:pPr>
              <w:spacing w:before="50" w:after="50" w:line="264" w:lineRule="auto"/>
            </w:pPr>
            <w:r>
              <w:rPr>
                <w:color w:val="546E7A"/>
                <w:sz w:val="18"/>
              </w:rPr>
              <w:t>1</w:t>
            </w:r>
          </w:p>
        </w:tc>
        <w:tc>
          <w:tcPr>
            <w:tcW w:w="5226" w:type="dxa"/>
          </w:tcPr>
          <w:p>
            <w:pPr>
              <w:spacing w:before="50" w:after="50" w:line="264" w:lineRule="auto"/>
            </w:pPr>
            <w:r>
              <w:rPr>
                <w:color w:val="546E7A"/>
                <w:sz w:val="18"/>
              </w:rPr>
              <w:t>Finance module live; AR/AP updated weekly</w:t>
            </w:r>
          </w:p>
        </w:tc>
      </w:tr>
      <w:tr>
        <w:tc>
          <w:tcPr>
            <w:tcW w:w="2900" w:type="dxa"/>
          </w:tcPr>
          <w:p>
            <w:pPr>
              <w:spacing w:before="50" w:after="50" w:line="264" w:lineRule="auto"/>
            </w:pPr>
            <w:r>
              <w:rPr>
                <w:color w:val="546E7A"/>
                <w:sz w:val="18"/>
              </w:rPr>
              <w:t>Annual revenue forecast</w:t>
            </w:r>
          </w:p>
        </w:tc>
        <w:tc>
          <w:tcPr>
            <w:tcW w:w="900" w:type="dxa"/>
          </w:tcPr>
          <w:p>
            <w:pPr>
              <w:spacing w:before="50" w:after="50" w:line="264" w:lineRule="auto"/>
            </w:pPr>
            <w:r>
              <w:rPr>
                <w:color w:val="546E7A"/>
                <w:sz w:val="18"/>
              </w:rPr>
              <w:t>2</w:t>
            </w:r>
          </w:p>
        </w:tc>
        <w:tc>
          <w:tcPr>
            <w:tcW w:w="5226" w:type="dxa"/>
          </w:tcPr>
          <w:p>
            <w:pPr>
              <w:spacing w:before="50" w:after="50" w:line="264" w:lineRule="auto"/>
            </w:pPr>
            <w:r>
              <w:rPr>
                <w:color w:val="546E7A"/>
                <w:sz w:val="18"/>
              </w:rPr>
              <w:t>12+ months of accumulated data</w:t>
            </w:r>
          </w:p>
        </w:tc>
      </w:tr>
      <w:tr>
        <w:tc>
          <w:tcPr>
            <w:tcW w:w="2900" w:type="dxa"/>
          </w:tcPr>
          <w:p>
            <w:pPr>
              <w:spacing w:before="50" w:after="50" w:line="264" w:lineRule="auto"/>
            </w:pPr>
            <w:r>
              <w:rPr>
                <w:color w:val="546E7A"/>
                <w:sz w:val="18"/>
              </w:rPr>
              <w:t>Customer churn</w:t>
            </w:r>
          </w:p>
        </w:tc>
        <w:tc>
          <w:tcPr>
            <w:tcW w:w="900" w:type="dxa"/>
          </w:tcPr>
          <w:p>
            <w:pPr>
              <w:spacing w:before="50" w:after="50" w:line="264" w:lineRule="auto"/>
            </w:pPr>
            <w:r>
              <w:rPr>
                <w:color w:val="546E7A"/>
                <w:sz w:val="18"/>
              </w:rPr>
              <w:t>2</w:t>
            </w:r>
          </w:p>
        </w:tc>
        <w:tc>
          <w:tcPr>
            <w:tcW w:w="5226" w:type="dxa"/>
          </w:tcPr>
          <w:p>
            <w:pPr>
              <w:spacing w:before="50" w:after="50" w:line="264" w:lineRule="auto"/>
            </w:pPr>
            <w:r>
              <w:rPr>
                <w:color w:val="546E7A"/>
                <w:sz w:val="18"/>
              </w:rPr>
              <w:t>12+ months of CRM transaction history</w:t>
            </w:r>
          </w:p>
        </w:tc>
      </w:tr>
      <w:tr>
        <w:tc>
          <w:tcPr>
            <w:tcW w:w="2900" w:type="dxa"/>
          </w:tcPr>
          <w:p>
            <w:pPr>
              <w:spacing w:before="50" w:after="50" w:line="264" w:lineRule="auto"/>
            </w:pPr>
            <w:r>
              <w:rPr>
                <w:color w:val="546E7A"/>
                <w:sz w:val="18"/>
              </w:rPr>
              <w:t>Win probability</w:t>
            </w:r>
          </w:p>
        </w:tc>
        <w:tc>
          <w:tcPr>
            <w:tcW w:w="900" w:type="dxa"/>
          </w:tcPr>
          <w:p>
            <w:pPr>
              <w:spacing w:before="50" w:after="50" w:line="264" w:lineRule="auto"/>
            </w:pPr>
            <w:r>
              <w:rPr>
                <w:color w:val="546E7A"/>
                <w:sz w:val="18"/>
              </w:rPr>
              <w:t>2</w:t>
            </w:r>
          </w:p>
        </w:tc>
        <w:tc>
          <w:tcPr>
            <w:tcW w:w="5226" w:type="dxa"/>
          </w:tcPr>
          <w:p>
            <w:pPr>
              <w:spacing w:before="50" w:after="50" w:line="264" w:lineRule="auto"/>
            </w:pPr>
            <w:r>
              <w:rPr>
                <w:color w:val="546E7A"/>
                <w:sz w:val="18"/>
              </w:rPr>
              <w:t>Win/loss records with reason codes</w:t>
            </w:r>
          </w:p>
        </w:tc>
      </w:tr>
      <w:tr>
        <w:tc>
          <w:tcPr>
            <w:tcW w:w="2900" w:type="dxa"/>
          </w:tcPr>
          <w:p>
            <w:pPr>
              <w:spacing w:before="50" w:after="50" w:line="264" w:lineRule="auto"/>
            </w:pPr>
            <w:r>
              <w:rPr>
                <w:color w:val="546E7A"/>
                <w:sz w:val="18"/>
              </w:rPr>
              <w:t>Project completion risk</w:t>
            </w:r>
          </w:p>
        </w:tc>
        <w:tc>
          <w:tcPr>
            <w:tcW w:w="900" w:type="dxa"/>
          </w:tcPr>
          <w:p>
            <w:pPr>
              <w:spacing w:before="50" w:after="50" w:line="264" w:lineRule="auto"/>
            </w:pPr>
            <w:r>
              <w:rPr>
                <w:color w:val="546E7A"/>
                <w:sz w:val="18"/>
              </w:rPr>
              <w:t>2</w:t>
            </w:r>
          </w:p>
        </w:tc>
        <w:tc>
          <w:tcPr>
            <w:tcW w:w="5226" w:type="dxa"/>
          </w:tcPr>
          <w:p>
            <w:pPr>
              <w:spacing w:before="50" w:after="50" w:line="264" w:lineRule="auto"/>
            </w:pPr>
            <w:r>
              <w:rPr>
                <w:color w:val="546E7A"/>
                <w:sz w:val="18"/>
              </w:rPr>
              <w:t>Completed project histories with budget vs. actual</w:t>
            </w:r>
          </w:p>
        </w:tc>
      </w:tr>
      <w:tr>
        <w:tc>
          <w:tcPr>
            <w:tcW w:w="2900" w:type="dxa"/>
          </w:tcPr>
          <w:p>
            <w:pPr>
              <w:spacing w:before="50" w:after="50" w:line="264" w:lineRule="auto"/>
            </w:pPr>
            <w:r>
              <w:rPr>
                <w:color w:val="546E7A"/>
                <w:sz w:val="18"/>
              </w:rPr>
              <w:t>Inventory shortages</w:t>
            </w:r>
          </w:p>
        </w:tc>
        <w:tc>
          <w:tcPr>
            <w:tcW w:w="900" w:type="dxa"/>
          </w:tcPr>
          <w:p>
            <w:pPr>
              <w:spacing w:before="50" w:after="50" w:line="264" w:lineRule="auto"/>
            </w:pPr>
            <w:r>
              <w:rPr>
                <w:color w:val="546E7A"/>
                <w:sz w:val="18"/>
              </w:rPr>
              <w:t>2</w:t>
            </w:r>
          </w:p>
        </w:tc>
        <w:tc>
          <w:tcPr>
            <w:tcW w:w="5226" w:type="dxa"/>
          </w:tcPr>
          <w:p>
            <w:pPr>
              <w:spacing w:before="50" w:after="50" w:line="264" w:lineRule="auto"/>
            </w:pPr>
            <w:r>
              <w:rPr>
                <w:color w:val="546E7A"/>
                <w:sz w:val="18"/>
              </w:rPr>
              <w:t>Inventory module live with usage history</w:t>
            </w:r>
          </w:p>
        </w:tc>
      </w:tr>
      <w:tr>
        <w:tc>
          <w:tcPr>
            <w:tcW w:w="2900" w:type="dxa"/>
          </w:tcPr>
          <w:p>
            <w:pPr>
              <w:spacing w:before="50" w:after="50" w:line="264" w:lineRule="auto"/>
            </w:pPr>
            <w:r>
              <w:rPr>
                <w:color w:val="546E7A"/>
                <w:sz w:val="18"/>
              </w:rPr>
              <w:t>Material price increases</w:t>
            </w:r>
          </w:p>
        </w:tc>
        <w:tc>
          <w:tcPr>
            <w:tcW w:w="900" w:type="dxa"/>
          </w:tcPr>
          <w:p>
            <w:pPr>
              <w:spacing w:before="50" w:after="50" w:line="264" w:lineRule="auto"/>
            </w:pPr>
            <w:r>
              <w:rPr>
                <w:color w:val="546E7A"/>
                <w:sz w:val="18"/>
              </w:rPr>
              <w:t>3</w:t>
            </w:r>
          </w:p>
        </w:tc>
        <w:tc>
          <w:tcPr>
            <w:tcW w:w="5226" w:type="dxa"/>
          </w:tcPr>
          <w:p>
            <w:pPr>
              <w:spacing w:before="50" w:after="50" w:line="264" w:lineRule="auto"/>
            </w:pPr>
            <w:r>
              <w:rPr>
                <w:color w:val="546E7A"/>
                <w:sz w:val="18"/>
              </w:rPr>
              <w:t>Supplier price history plus external feeds</w:t>
            </w:r>
          </w:p>
        </w:tc>
      </w:tr>
      <w:tr>
        <w:tc>
          <w:tcPr>
            <w:tcW w:w="2900" w:type="dxa"/>
          </w:tcPr>
          <w:p>
            <w:pPr>
              <w:spacing w:before="50" w:after="50" w:line="264" w:lineRule="auto"/>
            </w:pPr>
            <w:r>
              <w:rPr>
                <w:color w:val="546E7A"/>
                <w:sz w:val="18"/>
              </w:rPr>
              <w:t>Hiring requirements</w:t>
            </w:r>
          </w:p>
        </w:tc>
        <w:tc>
          <w:tcPr>
            <w:tcW w:w="900" w:type="dxa"/>
          </w:tcPr>
          <w:p>
            <w:pPr>
              <w:spacing w:before="50" w:after="50" w:line="264" w:lineRule="auto"/>
            </w:pPr>
            <w:r>
              <w:rPr>
                <w:color w:val="546E7A"/>
                <w:sz w:val="18"/>
              </w:rPr>
              <w:t>3</w:t>
            </w:r>
          </w:p>
        </w:tc>
        <w:tc>
          <w:tcPr>
            <w:tcW w:w="5226" w:type="dxa"/>
          </w:tcPr>
          <w:p>
            <w:pPr>
              <w:spacing w:before="50" w:after="50" w:line="264" w:lineRule="auto"/>
            </w:pPr>
            <w:r>
              <w:rPr>
                <w:color w:val="546E7A"/>
                <w:sz w:val="18"/>
              </w:rPr>
              <w:t>HR module data plus project pipeline</w:t>
            </w:r>
          </w:p>
        </w:tc>
      </w:tr>
      <w:tr>
        <w:tc>
          <w:tcPr>
            <w:tcW w:w="2900" w:type="dxa"/>
          </w:tcPr>
          <w:p>
            <w:pPr>
              <w:spacing w:before="50" w:after="50" w:line="264" w:lineRule="auto"/>
            </w:pPr>
            <w:r>
              <w:rPr>
                <w:color w:val="546E7A"/>
                <w:sz w:val="18"/>
              </w:rPr>
              <w:t>Capacity utilization</w:t>
            </w:r>
          </w:p>
        </w:tc>
        <w:tc>
          <w:tcPr>
            <w:tcW w:w="900" w:type="dxa"/>
          </w:tcPr>
          <w:p>
            <w:pPr>
              <w:spacing w:before="50" w:after="50" w:line="264" w:lineRule="auto"/>
            </w:pPr>
            <w:r>
              <w:rPr>
                <w:color w:val="546E7A"/>
                <w:sz w:val="18"/>
              </w:rPr>
              <w:t>3</w:t>
            </w:r>
          </w:p>
        </w:tc>
        <w:tc>
          <w:tcPr>
            <w:tcW w:w="5226" w:type="dxa"/>
          </w:tcPr>
          <w:p>
            <w:pPr>
              <w:spacing w:before="50" w:after="50" w:line="264" w:lineRule="auto"/>
            </w:pPr>
            <w:r>
              <w:rPr>
                <w:color w:val="546E7A"/>
                <w:sz w:val="18"/>
              </w:rPr>
              <w:t>HR and project scheduling data</w:t>
            </w:r>
          </w:p>
        </w:tc>
      </w:tr>
    </w:tbl>
    <w:p>
      <w:pPr>
        <w:spacing w:after="120"/>
      </w:pPr>
      <w:r/>
    </w:p>
    <w:p>
      <w:pPr>
        <w:pStyle w:val="Heading1"/>
      </w:pPr>
      <w:r>
        <w:t>8. AI Recommendations</w:t>
      </w:r>
    </w:p>
    <w:p>
      <w:r>
        <w:t>Examples of recommendations the AI produces:</w:t>
      </w:r>
    </w:p>
    <w:p>
      <w:pPr>
        <w:spacing w:after="100" w:line="300" w:lineRule="auto"/>
        <w:ind w:left="500" w:hanging="260"/>
      </w:pPr>
      <w:r>
        <w:rPr>
          <w:b/>
          <w:color w:val="37474F"/>
        </w:rPr>
        <w:t xml:space="preserve">•  </w:t>
      </w:r>
      <w:r>
        <w:t>Increase marketing for high-margin products.</w:t>
      </w:r>
    </w:p>
    <w:p>
      <w:pPr>
        <w:spacing w:after="100" w:line="300" w:lineRule="auto"/>
        <w:ind w:left="500" w:hanging="260"/>
      </w:pPr>
      <w:r>
        <w:rPr>
          <w:b/>
          <w:color w:val="37474F"/>
        </w:rPr>
        <w:t xml:space="preserve">•  </w:t>
      </w:r>
      <w:r>
        <w:t>Contact inactive customers.</w:t>
      </w:r>
    </w:p>
    <w:p>
      <w:pPr>
        <w:spacing w:after="100" w:line="300" w:lineRule="auto"/>
        <w:ind w:left="500" w:hanging="260"/>
      </w:pPr>
      <w:r>
        <w:rPr>
          <w:b/>
          <w:color w:val="37474F"/>
        </w:rPr>
        <w:t xml:space="preserve">•  </w:t>
      </w:r>
      <w:r>
        <w:t>Adjust pricing based on market trends.</w:t>
      </w:r>
    </w:p>
    <w:p>
      <w:pPr>
        <w:spacing w:after="100" w:line="300" w:lineRule="auto"/>
        <w:ind w:left="500" w:hanging="260"/>
      </w:pPr>
      <w:r>
        <w:rPr>
          <w:b/>
          <w:color w:val="37474F"/>
        </w:rPr>
        <w:t xml:space="preserve">•  </w:t>
      </w:r>
      <w:r>
        <w:t>Negotiate with alternative suppliers.</w:t>
      </w:r>
    </w:p>
    <w:p>
      <w:pPr>
        <w:spacing w:after="100" w:line="300" w:lineRule="auto"/>
        <w:ind w:left="500" w:hanging="260"/>
      </w:pPr>
      <w:r>
        <w:rPr>
          <w:b/>
          <w:color w:val="37474F"/>
        </w:rPr>
        <w:t xml:space="preserve">•  </w:t>
      </w:r>
      <w:r>
        <w:t>Expand into high-growth regions.</w:t>
      </w:r>
    </w:p>
    <w:p>
      <w:pPr>
        <w:spacing w:after="100" w:line="300" w:lineRule="auto"/>
        <w:ind w:left="500" w:hanging="260"/>
      </w:pPr>
      <w:r>
        <w:rPr>
          <w:b/>
          <w:color w:val="37474F"/>
        </w:rPr>
        <w:t xml:space="preserve">•  </w:t>
      </w:r>
      <w:r>
        <w:t>Improve follow-up on high-value quotations.</w:t>
      </w:r>
    </w:p>
    <w:p>
      <w:pPr>
        <w:spacing w:after="100" w:line="300" w:lineRule="auto"/>
        <w:ind w:left="500" w:hanging="260"/>
      </w:pPr>
      <w:r>
        <w:rPr>
          <w:b/>
          <w:color w:val="37474F"/>
        </w:rPr>
        <w:t xml:space="preserve">•  </w:t>
      </w:r>
      <w:r>
        <w:t>Launch preventive maintenance campaigns.</w:t>
      </w:r>
    </w:p>
    <w:p>
      <w:pPr>
        <w:spacing w:after="100" w:line="300" w:lineRule="auto"/>
        <w:ind w:left="500" w:hanging="260"/>
      </w:pPr>
      <w:r>
        <w:rPr>
          <w:b/>
          <w:color w:val="37474F"/>
        </w:rPr>
        <w:t xml:space="preserve">•  </w:t>
      </w:r>
      <w:r>
        <w:t>Reduce costs in low-margin projects.</w:t>
      </w:r>
    </w:p>
    <w:p>
      <w:r>
        <w:t>Every recommendation includes:</w:t>
      </w:r>
    </w:p>
    <w:p>
      <w:pPr>
        <w:spacing w:after="100" w:line="300" w:lineRule="auto"/>
        <w:ind w:left="500" w:hanging="260"/>
      </w:pPr>
      <w:r>
        <w:rPr>
          <w:b/>
          <w:color w:val="37474F"/>
        </w:rPr>
        <w:t xml:space="preserve">•  </w:t>
      </w:r>
      <w:r>
        <w:t>Expected Business Impact</w:t>
      </w:r>
    </w:p>
    <w:p>
      <w:pPr>
        <w:spacing w:after="100" w:line="300" w:lineRule="auto"/>
        <w:ind w:left="500" w:hanging="260"/>
      </w:pPr>
      <w:r>
        <w:rPr>
          <w:b/>
          <w:color w:val="37474F"/>
        </w:rPr>
        <w:t xml:space="preserve">•  </w:t>
      </w:r>
      <w:r>
        <w:t>Risk Level</w:t>
      </w:r>
    </w:p>
    <w:p>
      <w:pPr>
        <w:spacing w:after="100" w:line="300" w:lineRule="auto"/>
        <w:ind w:left="500" w:hanging="260"/>
      </w:pPr>
      <w:r>
        <w:rPr>
          <w:b/>
          <w:color w:val="37474F"/>
        </w:rPr>
        <w:t xml:space="preserve">•  </w:t>
      </w:r>
      <w:r>
        <w:t>Confidence Score</w:t>
      </w:r>
    </w:p>
    <w:p>
      <w:pPr>
        <w:spacing w:after="100" w:line="300" w:lineRule="auto"/>
        <w:ind w:left="500" w:hanging="260"/>
      </w:pPr>
      <w:r>
        <w:rPr>
          <w:b/>
          <w:color w:val="37474F"/>
        </w:rPr>
        <w:t xml:space="preserve">•  </w:t>
      </w:r>
      <w:r>
        <w:t>Financial Estimate</w:t>
      </w:r>
    </w:p>
    <w:p>
      <w:pPr>
        <w:spacing w:after="100" w:line="300" w:lineRule="auto"/>
        <w:ind w:left="500" w:hanging="260"/>
      </w:pPr>
      <w:r>
        <w:rPr>
          <w:b/>
          <w:color w:val="37474F"/>
        </w:rPr>
        <w:t xml:space="preserve">•  </w:t>
      </w:r>
      <w:r>
        <w:t>Recommended Owner</w:t>
      </w:r>
    </w:p>
    <w:p>
      <w:pPr>
        <w:spacing w:after="100" w:line="300" w:lineRule="auto"/>
        <w:ind w:left="500" w:hanging="260"/>
      </w:pPr>
      <w:r>
        <w:rPr>
          <w:b/>
          <w:color w:val="37474F"/>
        </w:rPr>
        <w:t xml:space="preserve">•  </w:t>
      </w:r>
      <w:r>
        <w:t>Target Completion Date</w:t>
      </w:r>
    </w:p>
    <w:p>
      <w:pPr>
        <w:spacing w:after="200" w:line="312" w:lineRule="auto"/>
      </w:pPr>
      <w:r>
        <w:rPr>
          <w:b/>
          <w:color w:val="37474F"/>
        </w:rPr>
        <w:t xml:space="preserve">Action Rule — </w:t>
      </w:r>
      <w:r>
        <w:t>recommendations are advisory only. They become action only after a human accepts them under the governance rules in Section 13.</w:t>
      </w:r>
    </w:p>
    <w:p>
      <w:pPr>
        <w:pStyle w:val="Heading1"/>
      </w:pPr>
      <w:r>
        <w:t>9. CEO Daily Briefing</w:t>
      </w:r>
    </w:p>
    <w:p>
      <w:r>
        <w:t>Automatically generated every morning and delivered to the Directors before 6:00 AM. Contents:</w:t>
      </w:r>
    </w:p>
    <w:p>
      <w:pPr>
        <w:spacing w:after="100" w:line="300" w:lineRule="auto"/>
        <w:ind w:left="500" w:hanging="260"/>
      </w:pPr>
      <w:r>
        <w:rPr>
          <w:b/>
          <w:color w:val="37474F"/>
        </w:rPr>
        <w:t xml:space="preserve">•  </w:t>
      </w:r>
      <w:r>
        <w:t>Revenue Yesterday</w:t>
      </w:r>
    </w:p>
    <w:p>
      <w:pPr>
        <w:spacing w:after="100" w:line="300" w:lineRule="auto"/>
        <w:ind w:left="500" w:hanging="260"/>
      </w:pPr>
      <w:r>
        <w:rPr>
          <w:b/>
          <w:color w:val="37474F"/>
        </w:rPr>
        <w:t xml:space="preserve">•  </w:t>
      </w:r>
      <w:r>
        <w:t>Revenue This Month</w:t>
      </w:r>
    </w:p>
    <w:p>
      <w:pPr>
        <w:spacing w:after="100" w:line="300" w:lineRule="auto"/>
        <w:ind w:left="500" w:hanging="260"/>
      </w:pPr>
      <w:r>
        <w:rPr>
          <w:b/>
          <w:color w:val="37474F"/>
        </w:rPr>
        <w:t xml:space="preserve">•  </w:t>
      </w:r>
      <w:r>
        <w:t>Gross Profit</w:t>
      </w:r>
    </w:p>
    <w:p>
      <w:pPr>
        <w:spacing w:after="100" w:line="300" w:lineRule="auto"/>
        <w:ind w:left="500" w:hanging="260"/>
      </w:pPr>
      <w:r>
        <w:rPr>
          <w:b/>
          <w:color w:val="37474F"/>
        </w:rPr>
        <w:t xml:space="preserve">•  </w:t>
      </w:r>
      <w:r>
        <w:t>Cash Position</w:t>
      </w:r>
    </w:p>
    <w:p>
      <w:pPr>
        <w:spacing w:after="100" w:line="300" w:lineRule="auto"/>
        <w:ind w:left="500" w:hanging="260"/>
      </w:pPr>
      <w:r>
        <w:rPr>
          <w:b/>
          <w:color w:val="37474F"/>
        </w:rPr>
        <w:t xml:space="preserve">•  </w:t>
      </w:r>
      <w:r>
        <w:t>Collections</w:t>
      </w:r>
    </w:p>
    <w:p>
      <w:pPr>
        <w:spacing w:after="100" w:line="300" w:lineRule="auto"/>
        <w:ind w:left="500" w:hanging="260"/>
      </w:pPr>
      <w:r>
        <w:rPr>
          <w:b/>
          <w:color w:val="37474F"/>
        </w:rPr>
        <w:t xml:space="preserve">•  </w:t>
      </w:r>
      <w:r>
        <w:t>Outstanding Receivables</w:t>
      </w:r>
    </w:p>
    <w:p>
      <w:pPr>
        <w:spacing w:after="100" w:line="300" w:lineRule="auto"/>
        <w:ind w:left="500" w:hanging="260"/>
      </w:pPr>
      <w:r>
        <w:rPr>
          <w:b/>
          <w:color w:val="37474F"/>
        </w:rPr>
        <w:t xml:space="preserve">•  </w:t>
      </w:r>
      <w:r>
        <w:t>Upcoming Payables</w:t>
      </w:r>
    </w:p>
    <w:p>
      <w:pPr>
        <w:spacing w:after="100" w:line="300" w:lineRule="auto"/>
        <w:ind w:left="500" w:hanging="260"/>
      </w:pPr>
      <w:r>
        <w:rPr>
          <w:b/>
          <w:color w:val="37474F"/>
        </w:rPr>
        <w:t xml:space="preserve">•  </w:t>
      </w:r>
      <w:r>
        <w:t>New Opportunities</w:t>
      </w:r>
    </w:p>
    <w:p>
      <w:pPr>
        <w:spacing w:after="100" w:line="300" w:lineRule="auto"/>
        <w:ind w:left="500" w:hanging="260"/>
      </w:pPr>
      <w:r>
        <w:rPr>
          <w:b/>
          <w:color w:val="37474F"/>
        </w:rPr>
        <w:t xml:space="preserve">•  </w:t>
      </w:r>
      <w:r>
        <w:t>High-Risk Items</w:t>
      </w:r>
    </w:p>
    <w:p>
      <w:pPr>
        <w:spacing w:after="100" w:line="300" w:lineRule="auto"/>
        <w:ind w:left="500" w:hanging="260"/>
      </w:pPr>
      <w:r>
        <w:rPr>
          <w:b/>
          <w:color w:val="37474F"/>
        </w:rPr>
        <w:t xml:space="preserve">•  </w:t>
      </w:r>
      <w:r>
        <w:t>Competitor &amp; Market Updates</w:t>
      </w:r>
    </w:p>
    <w:p>
      <w:pPr>
        <w:spacing w:after="100" w:line="300" w:lineRule="auto"/>
        <w:ind w:left="500" w:hanging="260"/>
      </w:pPr>
      <w:r>
        <w:rPr>
          <w:b/>
          <w:color w:val="37474F"/>
        </w:rPr>
        <w:t xml:space="preserve">•  </w:t>
      </w:r>
      <w:r>
        <w:t>Top Five Recommended Actions</w:t>
      </w:r>
    </w:p>
    <w:p>
      <w:pPr>
        <w:pStyle w:val="Heading1"/>
      </w:pPr>
      <w:r>
        <w:t>10. Executive Alerts and Escalation</w:t>
      </w:r>
    </w:p>
    <w:p>
      <w:r>
        <w:t>Immediate notifications are governed by explicit thresholds and an escalation path. Default thresholds below are configurable by the Directors; thresholds are reviewed monthly during the first quarter to prevent alert fatigue.</w:t>
      </w:r>
    </w:p>
    <w:tbl>
      <w:tblPr>
        <w:tblW w:w="5000" w:type="pct"/>
        <w:tblBorders>
          <w:top w:val="single" w:color="37474F" w:sz="12"/>
          <w:left w:val="nil"/>
          <w:bottom w:val="single" w:color="37474F" w:sz="12"/>
          <w:right w:val="nil"/>
          <w:insideH w:val="single" w:color="CFD8DC" w:sz="4"/>
          <w:insideV w:val="nil"/>
        </w:tblBorders>
      </w:tblPr>
      <w:tblGrid>
        <w:gridCol w:w="1900"/>
        <w:gridCol w:w="2700"/>
        <w:gridCol w:w="1650"/>
        <w:gridCol w:w="1500"/>
        <w:gridCol w:w="1276"/>
      </w:tblGrid>
      <w:tr>
        <w:trPr>
          <w:tblHeader/>
        </w:trPr>
        <w:tc>
          <w:tcPr>
            <w:tcW w:w="1900" w:type="dxa"/>
            <w:shd w:val="clear" w:fill="ECEFF1"/>
          </w:tcPr>
          <w:p>
            <w:pPr>
              <w:spacing w:before="50" w:after="50" w:line="264" w:lineRule="auto"/>
            </w:pPr>
            <w:r>
              <w:rPr>
                <w:b/>
                <w:color w:val="263238"/>
                <w:sz w:val="18"/>
              </w:rPr>
              <w:t>Alert</w:t>
            </w:r>
          </w:p>
        </w:tc>
        <w:tc>
          <w:tcPr>
            <w:tcW w:w="2700" w:type="dxa"/>
            <w:shd w:val="clear" w:fill="ECEFF1"/>
          </w:tcPr>
          <w:p>
            <w:pPr>
              <w:spacing w:before="50" w:after="50" w:line="264" w:lineRule="auto"/>
            </w:pPr>
            <w:r>
              <w:rPr>
                <w:b/>
                <w:color w:val="263238"/>
                <w:sz w:val="18"/>
              </w:rPr>
              <w:t>Default Trigger Threshold</w:t>
            </w:r>
          </w:p>
        </w:tc>
        <w:tc>
          <w:tcPr>
            <w:tcW w:w="1650" w:type="dxa"/>
            <w:shd w:val="clear" w:fill="ECEFF1"/>
          </w:tcPr>
          <w:p>
            <w:pPr>
              <w:spacing w:before="50" w:after="50" w:line="264" w:lineRule="auto"/>
            </w:pPr>
            <w:r>
              <w:rPr>
                <w:b/>
                <w:color w:val="263238"/>
                <w:sz w:val="18"/>
              </w:rPr>
              <w:t>First Notified</w:t>
            </w:r>
          </w:p>
        </w:tc>
        <w:tc>
          <w:tcPr>
            <w:tcW w:w="1500" w:type="dxa"/>
            <w:shd w:val="clear" w:fill="ECEFF1"/>
          </w:tcPr>
          <w:p>
            <w:pPr>
              <w:spacing w:before="50" w:after="50" w:line="264" w:lineRule="auto"/>
            </w:pPr>
            <w:r>
              <w:rPr>
                <w:b/>
                <w:color w:val="263238"/>
                <w:sz w:val="18"/>
              </w:rPr>
              <w:t>Escalates To</w:t>
            </w:r>
          </w:p>
        </w:tc>
        <w:tc>
          <w:tcPr>
            <w:tcW w:w="1276" w:type="dxa"/>
            <w:shd w:val="clear" w:fill="ECEFF1"/>
          </w:tcPr>
          <w:p>
            <w:pPr>
              <w:spacing w:before="50" w:after="50" w:line="264" w:lineRule="auto"/>
            </w:pPr>
            <w:r>
              <w:rPr>
                <w:b/>
                <w:color w:val="263238"/>
                <w:sz w:val="18"/>
              </w:rPr>
              <w:t>Response Window</w:t>
            </w:r>
          </w:p>
        </w:tc>
      </w:tr>
      <w:tr>
        <w:tc>
          <w:tcPr>
            <w:tcW w:w="1900" w:type="dxa"/>
          </w:tcPr>
          <w:p>
            <w:pPr>
              <w:spacing w:before="50" w:after="50" w:line="264" w:lineRule="auto"/>
            </w:pPr>
            <w:r>
              <w:rPr>
                <w:color w:val="546E7A"/>
                <w:sz w:val="18"/>
              </w:rPr>
              <w:t>Revenue below target</w:t>
            </w:r>
          </w:p>
        </w:tc>
        <w:tc>
          <w:tcPr>
            <w:tcW w:w="2700" w:type="dxa"/>
          </w:tcPr>
          <w:p>
            <w:pPr>
              <w:spacing w:before="50" w:after="50" w:line="264" w:lineRule="auto"/>
            </w:pPr>
            <w:r>
              <w:rPr>
                <w:color w:val="546E7A"/>
                <w:sz w:val="18"/>
              </w:rPr>
              <w:t>MTD revenue below 90% of prorated target</w:t>
            </w:r>
          </w:p>
        </w:tc>
        <w:tc>
          <w:tcPr>
            <w:tcW w:w="1650" w:type="dxa"/>
          </w:tcPr>
          <w:p>
            <w:pPr>
              <w:spacing w:before="50" w:after="50" w:line="264" w:lineRule="auto"/>
            </w:pPr>
            <w:r>
              <w:rPr>
                <w:color w:val="546E7A"/>
                <w:sz w:val="18"/>
              </w:rPr>
              <w:t>Sales / BD (Archie)</w:t>
            </w:r>
          </w:p>
        </w:tc>
        <w:tc>
          <w:tcPr>
            <w:tcW w:w="1500" w:type="dxa"/>
          </w:tcPr>
          <w:p>
            <w:pPr>
              <w:spacing w:before="50" w:after="50" w:line="264" w:lineRule="auto"/>
            </w:pPr>
            <w:r>
              <w:rPr>
                <w:color w:val="546E7A"/>
                <w:sz w:val="18"/>
              </w:rPr>
              <w:t>Directors</w:t>
            </w:r>
          </w:p>
        </w:tc>
        <w:tc>
          <w:tcPr>
            <w:tcW w:w="1276" w:type="dxa"/>
          </w:tcPr>
          <w:p>
            <w:pPr>
              <w:spacing w:before="50" w:after="50" w:line="264" w:lineRule="auto"/>
            </w:pPr>
            <w:r>
              <w:rPr>
                <w:color w:val="546E7A"/>
                <w:sz w:val="18"/>
              </w:rPr>
              <w:t>2 business days</w:t>
            </w:r>
          </w:p>
        </w:tc>
      </w:tr>
      <w:tr>
        <w:tc>
          <w:tcPr>
            <w:tcW w:w="1900" w:type="dxa"/>
          </w:tcPr>
          <w:p>
            <w:pPr>
              <w:spacing w:before="50" w:after="50" w:line="264" w:lineRule="auto"/>
            </w:pPr>
            <w:r>
              <w:rPr>
                <w:color w:val="546E7A"/>
                <w:sz w:val="18"/>
              </w:rPr>
              <w:t>Cash flow concern</w:t>
            </w:r>
          </w:p>
        </w:tc>
        <w:tc>
          <w:tcPr>
            <w:tcW w:w="2700" w:type="dxa"/>
          </w:tcPr>
          <w:p>
            <w:pPr>
              <w:spacing w:before="50" w:after="50" w:line="264" w:lineRule="auto"/>
            </w:pPr>
            <w:r>
              <w:rPr>
                <w:color w:val="546E7A"/>
                <w:sz w:val="18"/>
              </w:rPr>
              <w:t>Projected cash below 1.5x next 30-day payables</w:t>
            </w:r>
          </w:p>
        </w:tc>
        <w:tc>
          <w:tcPr>
            <w:tcW w:w="1650" w:type="dxa"/>
          </w:tcPr>
          <w:p>
            <w:pPr>
              <w:spacing w:before="50" w:after="50" w:line="264" w:lineRule="auto"/>
            </w:pPr>
            <w:r>
              <w:rPr>
                <w:color w:val="546E7A"/>
                <w:sz w:val="18"/>
              </w:rPr>
              <w:t>Christopher Troy Dy (Finance)</w:t>
            </w:r>
          </w:p>
        </w:tc>
        <w:tc>
          <w:tcPr>
            <w:tcW w:w="1500" w:type="dxa"/>
          </w:tcPr>
          <w:p>
            <w:pPr>
              <w:spacing w:before="50" w:after="50" w:line="264" w:lineRule="auto"/>
            </w:pPr>
            <w:r>
              <w:rPr>
                <w:color w:val="546E7A"/>
                <w:sz w:val="18"/>
              </w:rPr>
              <w:t>Allan Roy Aparis</w:t>
            </w:r>
          </w:p>
        </w:tc>
        <w:tc>
          <w:tcPr>
            <w:tcW w:w="1276" w:type="dxa"/>
          </w:tcPr>
          <w:p>
            <w:pPr>
              <w:spacing w:before="50" w:after="50" w:line="264" w:lineRule="auto"/>
            </w:pPr>
            <w:r>
              <w:rPr>
                <w:color w:val="546E7A"/>
                <w:sz w:val="18"/>
              </w:rPr>
              <w:t>Immediate</w:t>
            </w:r>
          </w:p>
        </w:tc>
      </w:tr>
      <w:tr>
        <w:tc>
          <w:tcPr>
            <w:tcW w:w="1900" w:type="dxa"/>
          </w:tcPr>
          <w:p>
            <w:pPr>
              <w:spacing w:before="50" w:after="50" w:line="264" w:lineRule="auto"/>
            </w:pPr>
            <w:r>
              <w:rPr>
                <w:color w:val="546E7A"/>
                <w:sz w:val="18"/>
              </w:rPr>
              <w:t>Large quotation loss</w:t>
            </w:r>
          </w:p>
        </w:tc>
        <w:tc>
          <w:tcPr>
            <w:tcW w:w="2700" w:type="dxa"/>
          </w:tcPr>
          <w:p>
            <w:pPr>
              <w:spacing w:before="50" w:after="50" w:line="264" w:lineRule="auto"/>
            </w:pPr>
            <w:r>
              <w:rPr>
                <w:color w:val="546E7A"/>
                <w:sz w:val="18"/>
              </w:rPr>
              <w:t>Lost quote above PHP 1,000,000</w:t>
            </w:r>
          </w:p>
        </w:tc>
        <w:tc>
          <w:tcPr>
            <w:tcW w:w="1650" w:type="dxa"/>
          </w:tcPr>
          <w:p>
            <w:pPr>
              <w:spacing w:before="50" w:after="50" w:line="264" w:lineRule="auto"/>
            </w:pPr>
            <w:r>
              <w:rPr>
                <w:color w:val="546E7A"/>
                <w:sz w:val="18"/>
              </w:rPr>
              <w:t>Sales / BD (Archie)</w:t>
            </w:r>
          </w:p>
        </w:tc>
        <w:tc>
          <w:tcPr>
            <w:tcW w:w="1500" w:type="dxa"/>
          </w:tcPr>
          <w:p>
            <w:pPr>
              <w:spacing w:before="50" w:after="50" w:line="264" w:lineRule="auto"/>
            </w:pPr>
            <w:r>
              <w:rPr>
                <w:color w:val="546E7A"/>
                <w:sz w:val="18"/>
              </w:rPr>
              <w:t>Directors</w:t>
            </w:r>
          </w:p>
        </w:tc>
        <w:tc>
          <w:tcPr>
            <w:tcW w:w="1276" w:type="dxa"/>
          </w:tcPr>
          <w:p>
            <w:pPr>
              <w:spacing w:before="50" w:after="50" w:line="264" w:lineRule="auto"/>
            </w:pPr>
            <w:r>
              <w:rPr>
                <w:color w:val="546E7A"/>
                <w:sz w:val="18"/>
              </w:rPr>
              <w:t>1 business day</w:t>
            </w:r>
          </w:p>
        </w:tc>
      </w:tr>
      <w:tr>
        <w:tc>
          <w:tcPr>
            <w:tcW w:w="1900" w:type="dxa"/>
          </w:tcPr>
          <w:p>
            <w:pPr>
              <w:spacing w:before="50" w:after="50" w:line="264" w:lineRule="auto"/>
            </w:pPr>
            <w:r>
              <w:rPr>
                <w:color w:val="546E7A"/>
                <w:sz w:val="18"/>
              </w:rPr>
              <w:t>High-value opportunity</w:t>
            </w:r>
          </w:p>
        </w:tc>
        <w:tc>
          <w:tcPr>
            <w:tcW w:w="2700" w:type="dxa"/>
          </w:tcPr>
          <w:p>
            <w:pPr>
              <w:spacing w:before="50" w:after="50" w:line="264" w:lineRule="auto"/>
            </w:pPr>
            <w:r>
              <w:rPr>
                <w:color w:val="546E7A"/>
                <w:sz w:val="18"/>
              </w:rPr>
              <w:t>Opportunity score 80+ with high estimated revenue</w:t>
            </w:r>
          </w:p>
        </w:tc>
        <w:tc>
          <w:tcPr>
            <w:tcW w:w="1650" w:type="dxa"/>
          </w:tcPr>
          <w:p>
            <w:pPr>
              <w:spacing w:before="50" w:after="50" w:line="264" w:lineRule="auto"/>
            </w:pPr>
            <w:r>
              <w:rPr>
                <w:color w:val="546E7A"/>
                <w:sz w:val="18"/>
              </w:rPr>
              <w:t>Opportunity owner</w:t>
            </w:r>
          </w:p>
        </w:tc>
        <w:tc>
          <w:tcPr>
            <w:tcW w:w="1500" w:type="dxa"/>
          </w:tcPr>
          <w:p>
            <w:pPr>
              <w:spacing w:before="50" w:after="50" w:line="264" w:lineRule="auto"/>
            </w:pPr>
            <w:r>
              <w:rPr>
                <w:color w:val="546E7A"/>
                <w:sz w:val="18"/>
              </w:rPr>
              <w:t>Allan Roy Aparis</w:t>
            </w:r>
          </w:p>
        </w:tc>
        <w:tc>
          <w:tcPr>
            <w:tcW w:w="1276" w:type="dxa"/>
          </w:tcPr>
          <w:p>
            <w:pPr>
              <w:spacing w:before="50" w:after="50" w:line="264" w:lineRule="auto"/>
            </w:pPr>
            <w:r>
              <w:rPr>
                <w:color w:val="546E7A"/>
                <w:sz w:val="18"/>
              </w:rPr>
              <w:t>Same day</w:t>
            </w:r>
          </w:p>
        </w:tc>
      </w:tr>
      <w:tr>
        <w:tc>
          <w:tcPr>
            <w:tcW w:w="1900" w:type="dxa"/>
          </w:tcPr>
          <w:p>
            <w:pPr>
              <w:spacing w:before="50" w:after="50" w:line="264" w:lineRule="auto"/>
            </w:pPr>
            <w:r>
              <w:rPr>
                <w:color w:val="546E7A"/>
                <w:sz w:val="18"/>
              </w:rPr>
              <w:t>Budget overrun</w:t>
            </w:r>
          </w:p>
        </w:tc>
        <w:tc>
          <w:tcPr>
            <w:tcW w:w="2700" w:type="dxa"/>
          </w:tcPr>
          <w:p>
            <w:pPr>
              <w:spacing w:before="50" w:after="50" w:line="264" w:lineRule="auto"/>
            </w:pPr>
            <w:r>
              <w:rPr>
                <w:color w:val="546E7A"/>
                <w:sz w:val="18"/>
              </w:rPr>
              <w:t>Project actuals reach 105% of budget</w:t>
            </w:r>
          </w:p>
        </w:tc>
        <w:tc>
          <w:tcPr>
            <w:tcW w:w="1650" w:type="dxa"/>
          </w:tcPr>
          <w:p>
            <w:pPr>
              <w:spacing w:before="50" w:after="50" w:line="264" w:lineRule="auto"/>
            </w:pPr>
            <w:r>
              <w:rPr>
                <w:color w:val="546E7A"/>
                <w:sz w:val="18"/>
              </w:rPr>
              <w:t>Project Manager</w:t>
            </w:r>
          </w:p>
        </w:tc>
        <w:tc>
          <w:tcPr>
            <w:tcW w:w="1500" w:type="dxa"/>
          </w:tcPr>
          <w:p>
            <w:pPr>
              <w:spacing w:before="50" w:after="50" w:line="264" w:lineRule="auto"/>
            </w:pPr>
            <w:r>
              <w:rPr>
                <w:color w:val="546E7A"/>
                <w:sz w:val="18"/>
              </w:rPr>
              <w:t>Christopher + Allan Roy</w:t>
            </w:r>
          </w:p>
        </w:tc>
        <w:tc>
          <w:tcPr>
            <w:tcW w:w="1276" w:type="dxa"/>
          </w:tcPr>
          <w:p>
            <w:pPr>
              <w:spacing w:before="50" w:after="50" w:line="264" w:lineRule="auto"/>
            </w:pPr>
            <w:r>
              <w:rPr>
                <w:color w:val="546E7A"/>
                <w:sz w:val="18"/>
              </w:rPr>
              <w:t>2 business days</w:t>
            </w:r>
          </w:p>
        </w:tc>
      </w:tr>
      <w:tr>
        <w:tc>
          <w:tcPr>
            <w:tcW w:w="1900" w:type="dxa"/>
          </w:tcPr>
          <w:p>
            <w:pPr>
              <w:spacing w:before="50" w:after="50" w:line="264" w:lineRule="auto"/>
            </w:pPr>
            <w:r>
              <w:rPr>
                <w:color w:val="546E7A"/>
                <w:sz w:val="18"/>
              </w:rPr>
              <w:t>Major customer inactivity</w:t>
            </w:r>
          </w:p>
        </w:tc>
        <w:tc>
          <w:tcPr>
            <w:tcW w:w="2700" w:type="dxa"/>
          </w:tcPr>
          <w:p>
            <w:pPr>
              <w:spacing w:before="50" w:after="50" w:line="264" w:lineRule="auto"/>
            </w:pPr>
            <w:r>
              <w:rPr>
                <w:color w:val="546E7A"/>
                <w:sz w:val="18"/>
              </w:rPr>
              <w:t>No transaction or engagement for 90 days</w:t>
            </w:r>
          </w:p>
        </w:tc>
        <w:tc>
          <w:tcPr>
            <w:tcW w:w="1650" w:type="dxa"/>
          </w:tcPr>
          <w:p>
            <w:pPr>
              <w:spacing w:before="50" w:after="50" w:line="264" w:lineRule="auto"/>
            </w:pPr>
            <w:r>
              <w:rPr>
                <w:color w:val="546E7A"/>
                <w:sz w:val="18"/>
              </w:rPr>
              <w:t>Account owner</w:t>
            </w:r>
          </w:p>
        </w:tc>
        <w:tc>
          <w:tcPr>
            <w:tcW w:w="1500" w:type="dxa"/>
          </w:tcPr>
          <w:p>
            <w:pPr>
              <w:spacing w:before="50" w:after="50" w:line="264" w:lineRule="auto"/>
            </w:pPr>
            <w:r>
              <w:rPr>
                <w:color w:val="546E7A"/>
                <w:sz w:val="18"/>
              </w:rPr>
              <w:t>Sales / BD Lead</w:t>
            </w:r>
          </w:p>
        </w:tc>
        <w:tc>
          <w:tcPr>
            <w:tcW w:w="1276" w:type="dxa"/>
          </w:tcPr>
          <w:p>
            <w:pPr>
              <w:spacing w:before="50" w:after="50" w:line="264" w:lineRule="auto"/>
            </w:pPr>
            <w:r>
              <w:rPr>
                <w:color w:val="546E7A"/>
                <w:sz w:val="18"/>
              </w:rPr>
              <w:t>1 week</w:t>
            </w:r>
          </w:p>
        </w:tc>
      </w:tr>
      <w:tr>
        <w:tc>
          <w:tcPr>
            <w:tcW w:w="1900" w:type="dxa"/>
          </w:tcPr>
          <w:p>
            <w:pPr>
              <w:spacing w:before="50" w:after="50" w:line="264" w:lineRule="auto"/>
            </w:pPr>
            <w:r>
              <w:rPr>
                <w:color w:val="546E7A"/>
                <w:sz w:val="18"/>
              </w:rPr>
              <w:t>Supplier risk</w:t>
            </w:r>
          </w:p>
        </w:tc>
        <w:tc>
          <w:tcPr>
            <w:tcW w:w="2700" w:type="dxa"/>
          </w:tcPr>
          <w:p>
            <w:pPr>
              <w:spacing w:before="50" w:after="50" w:line="264" w:lineRule="auto"/>
            </w:pPr>
            <w:r>
              <w:rPr>
                <w:color w:val="546E7A"/>
                <w:sz w:val="18"/>
              </w:rPr>
              <w:t>2 consecutive late deliveries or price spike above 10%</w:t>
            </w:r>
          </w:p>
        </w:tc>
        <w:tc>
          <w:tcPr>
            <w:tcW w:w="1650" w:type="dxa"/>
          </w:tcPr>
          <w:p>
            <w:pPr>
              <w:spacing w:before="50" w:after="50" w:line="264" w:lineRule="auto"/>
            </w:pPr>
            <w:r>
              <w:rPr>
                <w:color w:val="546E7A"/>
                <w:sz w:val="18"/>
              </w:rPr>
              <w:t>Procurement</w:t>
            </w:r>
          </w:p>
        </w:tc>
        <w:tc>
          <w:tcPr>
            <w:tcW w:w="1500" w:type="dxa"/>
          </w:tcPr>
          <w:p>
            <w:pPr>
              <w:spacing w:before="50" w:after="50" w:line="264" w:lineRule="auto"/>
            </w:pPr>
            <w:r>
              <w:rPr>
                <w:color w:val="546E7A"/>
                <w:sz w:val="18"/>
              </w:rPr>
              <w:t>Christopher Troy Dy</w:t>
            </w:r>
          </w:p>
        </w:tc>
        <w:tc>
          <w:tcPr>
            <w:tcW w:w="1276" w:type="dxa"/>
          </w:tcPr>
          <w:p>
            <w:pPr>
              <w:spacing w:before="50" w:after="50" w:line="264" w:lineRule="auto"/>
            </w:pPr>
            <w:r>
              <w:rPr>
                <w:color w:val="546E7A"/>
                <w:sz w:val="18"/>
              </w:rPr>
              <w:t>1 week</w:t>
            </w:r>
          </w:p>
        </w:tc>
      </w:tr>
      <w:tr>
        <w:tc>
          <w:tcPr>
            <w:tcW w:w="1900" w:type="dxa"/>
          </w:tcPr>
          <w:p>
            <w:pPr>
              <w:spacing w:before="50" w:after="50" w:line="264" w:lineRule="auto"/>
            </w:pPr>
            <w:r>
              <w:rPr>
                <w:color w:val="546E7A"/>
                <w:sz w:val="18"/>
              </w:rPr>
              <w:t>Inventory shortage</w:t>
            </w:r>
          </w:p>
        </w:tc>
        <w:tc>
          <w:tcPr>
            <w:tcW w:w="2700" w:type="dxa"/>
          </w:tcPr>
          <w:p>
            <w:pPr>
              <w:spacing w:before="50" w:after="50" w:line="264" w:lineRule="auto"/>
            </w:pPr>
            <w:r>
              <w:rPr>
                <w:color w:val="546E7A"/>
                <w:sz w:val="18"/>
              </w:rPr>
              <w:t>Stock below reorder point for scheduled projects</w:t>
            </w:r>
          </w:p>
        </w:tc>
        <w:tc>
          <w:tcPr>
            <w:tcW w:w="1650" w:type="dxa"/>
          </w:tcPr>
          <w:p>
            <w:pPr>
              <w:spacing w:before="50" w:after="50" w:line="264" w:lineRule="auto"/>
            </w:pPr>
            <w:r>
              <w:rPr>
                <w:color w:val="546E7A"/>
                <w:sz w:val="18"/>
              </w:rPr>
              <w:t>Procurement / Warehouse</w:t>
            </w:r>
          </w:p>
        </w:tc>
        <w:tc>
          <w:tcPr>
            <w:tcW w:w="1500" w:type="dxa"/>
          </w:tcPr>
          <w:p>
            <w:pPr>
              <w:spacing w:before="50" w:after="50" w:line="264" w:lineRule="auto"/>
            </w:pPr>
            <w:r>
              <w:rPr>
                <w:color w:val="546E7A"/>
                <w:sz w:val="18"/>
              </w:rPr>
              <w:t>Project Manager</w:t>
            </w:r>
          </w:p>
        </w:tc>
        <w:tc>
          <w:tcPr>
            <w:tcW w:w="1276" w:type="dxa"/>
          </w:tcPr>
          <w:p>
            <w:pPr>
              <w:spacing w:before="50" w:after="50" w:line="264" w:lineRule="auto"/>
            </w:pPr>
            <w:r>
              <w:rPr>
                <w:color w:val="546E7A"/>
                <w:sz w:val="18"/>
              </w:rPr>
              <w:t>Immediate</w:t>
            </w:r>
          </w:p>
        </w:tc>
      </w:tr>
      <w:tr>
        <w:tc>
          <w:tcPr>
            <w:tcW w:w="1900" w:type="dxa"/>
          </w:tcPr>
          <w:p>
            <w:pPr>
              <w:spacing w:before="50" w:after="50" w:line="264" w:lineRule="auto"/>
            </w:pPr>
            <w:r>
              <w:rPr>
                <w:color w:val="546E7A"/>
                <w:sz w:val="18"/>
              </w:rPr>
              <w:t>Project profitability decline</w:t>
            </w:r>
          </w:p>
        </w:tc>
        <w:tc>
          <w:tcPr>
            <w:tcW w:w="2700" w:type="dxa"/>
          </w:tcPr>
          <w:p>
            <w:pPr>
              <w:spacing w:before="50" w:after="50" w:line="264" w:lineRule="auto"/>
            </w:pPr>
            <w:r>
              <w:rPr>
                <w:color w:val="546E7A"/>
                <w:sz w:val="18"/>
              </w:rPr>
              <w:t>Projected margin drops more than 5 points vs. estimate</w:t>
            </w:r>
          </w:p>
        </w:tc>
        <w:tc>
          <w:tcPr>
            <w:tcW w:w="1650" w:type="dxa"/>
          </w:tcPr>
          <w:p>
            <w:pPr>
              <w:spacing w:before="50" w:after="50" w:line="264" w:lineRule="auto"/>
            </w:pPr>
            <w:r>
              <w:rPr>
                <w:color w:val="546E7A"/>
                <w:sz w:val="18"/>
              </w:rPr>
              <w:t>Project Manager</w:t>
            </w:r>
          </w:p>
        </w:tc>
        <w:tc>
          <w:tcPr>
            <w:tcW w:w="1500" w:type="dxa"/>
          </w:tcPr>
          <w:p>
            <w:pPr>
              <w:spacing w:before="50" w:after="50" w:line="264" w:lineRule="auto"/>
            </w:pPr>
            <w:r>
              <w:rPr>
                <w:color w:val="546E7A"/>
                <w:sz w:val="18"/>
              </w:rPr>
              <w:t>Directors</w:t>
            </w:r>
          </w:p>
        </w:tc>
        <w:tc>
          <w:tcPr>
            <w:tcW w:w="1276" w:type="dxa"/>
          </w:tcPr>
          <w:p>
            <w:pPr>
              <w:spacing w:before="50" w:after="50" w:line="264" w:lineRule="auto"/>
            </w:pPr>
            <w:r>
              <w:rPr>
                <w:color w:val="546E7A"/>
                <w:sz w:val="18"/>
              </w:rPr>
              <w:t>2 business days</w:t>
            </w:r>
          </w:p>
        </w:tc>
      </w:tr>
    </w:tbl>
    <w:p>
      <w:pPr>
        <w:spacing w:after="120"/>
      </w:pPr>
      <w:r/>
    </w:p>
    <w:p>
      <w:pPr>
        <w:pStyle w:val="Heading1"/>
      </w:pPr>
      <w:r>
        <w:t>11. AI Learning Engine</w:t>
      </w:r>
    </w:p>
    <w:p>
      <w:r>
        <w:t>The AI continuously learns from:</w:t>
      </w:r>
    </w:p>
    <w:p>
      <w:pPr>
        <w:spacing w:after="100" w:line="300" w:lineRule="auto"/>
        <w:ind w:left="500" w:hanging="260"/>
      </w:pPr>
      <w:r>
        <w:rPr>
          <w:b/>
          <w:color w:val="37474F"/>
        </w:rPr>
        <w:t xml:space="preserve">•  </w:t>
      </w:r>
      <w:r>
        <w:t>Executive decisions</w:t>
      </w:r>
    </w:p>
    <w:p>
      <w:pPr>
        <w:spacing w:after="100" w:line="300" w:lineRule="auto"/>
        <w:ind w:left="500" w:hanging="260"/>
      </w:pPr>
      <w:r>
        <w:rPr>
          <w:b/>
          <w:color w:val="37474F"/>
        </w:rPr>
        <w:t xml:space="preserve">•  </w:t>
      </w:r>
      <w:r>
        <w:t>Sales outcomes</w:t>
      </w:r>
    </w:p>
    <w:p>
      <w:pPr>
        <w:spacing w:after="100" w:line="300" w:lineRule="auto"/>
        <w:ind w:left="500" w:hanging="260"/>
      </w:pPr>
      <w:r>
        <w:rPr>
          <w:b/>
          <w:color w:val="37474F"/>
        </w:rPr>
        <w:t xml:space="preserve">•  </w:t>
      </w:r>
      <w:r>
        <w:t>Customer behavior</w:t>
      </w:r>
    </w:p>
    <w:p>
      <w:pPr>
        <w:spacing w:after="100" w:line="300" w:lineRule="auto"/>
        <w:ind w:left="500" w:hanging="260"/>
      </w:pPr>
      <w:r>
        <w:rPr>
          <w:b/>
          <w:color w:val="37474F"/>
        </w:rPr>
        <w:t xml:space="preserve">•  </w:t>
      </w:r>
      <w:r>
        <w:t>Project results</w:t>
      </w:r>
    </w:p>
    <w:p>
      <w:pPr>
        <w:spacing w:after="100" w:line="300" w:lineRule="auto"/>
        <w:ind w:left="500" w:hanging="260"/>
      </w:pPr>
      <w:r>
        <w:rPr>
          <w:b/>
          <w:color w:val="37474F"/>
        </w:rPr>
        <w:t xml:space="preserve">•  </w:t>
      </w:r>
      <w:r>
        <w:t>Financial performance</w:t>
      </w:r>
    </w:p>
    <w:p>
      <w:pPr>
        <w:spacing w:after="100" w:line="300" w:lineRule="auto"/>
        <w:ind w:left="500" w:hanging="260"/>
      </w:pPr>
      <w:r>
        <w:rPr>
          <w:b/>
          <w:color w:val="37474F"/>
        </w:rPr>
        <w:t xml:space="preserve">•  </w:t>
      </w:r>
      <w:r>
        <w:t>Procurement history</w:t>
      </w:r>
    </w:p>
    <w:p>
      <w:pPr>
        <w:spacing w:after="100" w:line="300" w:lineRule="auto"/>
        <w:ind w:left="500" w:hanging="260"/>
      </w:pPr>
      <w:r>
        <w:rPr>
          <w:b/>
          <w:color w:val="37474F"/>
        </w:rPr>
        <w:t xml:space="preserve">•  </w:t>
      </w:r>
      <w:r>
        <w:t>Employee performance</w:t>
      </w:r>
    </w:p>
    <w:p>
      <w:r>
        <w:t>The system improves its recommendations over time using AA2000's own operating history, through a structured feedback loop:</w:t>
      </w:r>
    </w:p>
    <w:p>
      <w:pPr>
        <w:spacing w:after="100" w:line="300" w:lineRule="auto"/>
        <w:ind w:left="500" w:hanging="260"/>
      </w:pPr>
      <w:r>
        <w:rPr>
          <w:b/>
          <w:color w:val="37474F"/>
        </w:rPr>
        <w:t xml:space="preserve">•  </w:t>
      </w:r>
      <w:r>
        <w:t>Every recommendation receives an accept or reject decision with a reason code (Accepted, Rejected-Cost, Rejected-Timing, Rejected-Risk, Rejected-Data Doubt, Deferred).</w:t>
      </w:r>
    </w:p>
    <w:p>
      <w:pPr>
        <w:spacing w:after="100" w:line="300" w:lineRule="auto"/>
        <w:ind w:left="500" w:hanging="260"/>
      </w:pPr>
      <w:r>
        <w:rPr>
          <w:b/>
          <w:color w:val="37474F"/>
        </w:rPr>
        <w:t xml:space="preserve">•  </w:t>
      </w:r>
      <w:r>
        <w:t>Accepted recommendations are tracked to outcome (revenue realized, cost saved, risk avoided).</w:t>
      </w:r>
    </w:p>
    <w:p>
      <w:pPr>
        <w:spacing w:after="100" w:line="300" w:lineRule="auto"/>
        <w:ind w:left="500" w:hanging="260"/>
      </w:pPr>
      <w:r>
        <w:rPr>
          <w:b/>
          <w:color w:val="37474F"/>
        </w:rPr>
        <w:t xml:space="preserve">•  </w:t>
      </w:r>
      <w:r>
        <w:t>Models are retrained quarterly on reviewed, decision-logged data only.</w:t>
      </w:r>
    </w:p>
    <w:p>
      <w:pPr>
        <w:spacing w:after="100" w:line="300" w:lineRule="auto"/>
        <w:ind w:left="500" w:hanging="260"/>
      </w:pPr>
      <w:r>
        <w:rPr>
          <w:b/>
          <w:color w:val="37474F"/>
        </w:rPr>
        <w:t xml:space="preserve">•  </w:t>
      </w:r>
      <w:r>
        <w:t>Model versions are archived with rollback capability, so a poor retrain never destroys prior performance.</w:t>
      </w:r>
    </w:p>
    <w:p>
      <w:pPr>
        <w:pStyle w:val="Heading1"/>
      </w:pPr>
      <w:r>
        <w:t>12. Data Quality and Source of Truth</w:t>
      </w:r>
    </w:p>
    <w:p>
      <w:r>
        <w:t>RGI-AI never stores its own copy of business facts. It reads from the owning module, and each data domain has exactly one source of truth:</w:t>
      </w:r>
    </w:p>
    <w:tbl>
      <w:tblPr>
        <w:tblW w:w="5000" w:type="pct"/>
        <w:tblBorders>
          <w:top w:val="single" w:color="37474F" w:sz="12"/>
          <w:left w:val="nil"/>
          <w:bottom w:val="single" w:color="37474F" w:sz="12"/>
          <w:right w:val="nil"/>
          <w:insideH w:val="single" w:color="CFD8DC" w:sz="4"/>
          <w:insideV w:val="nil"/>
        </w:tblBorders>
      </w:tblPr>
      <w:tblGrid>
        <w:gridCol w:w="3000"/>
        <w:gridCol w:w="2400"/>
        <w:gridCol w:w="3626"/>
      </w:tblGrid>
      <w:tr>
        <w:trPr>
          <w:tblHeader/>
        </w:trPr>
        <w:tc>
          <w:tcPr>
            <w:tcW w:w="3000" w:type="dxa"/>
            <w:shd w:val="clear" w:fill="ECEFF1"/>
          </w:tcPr>
          <w:p>
            <w:pPr>
              <w:spacing w:before="50" w:after="50" w:line="264" w:lineRule="auto"/>
            </w:pPr>
            <w:r>
              <w:rPr>
                <w:b/>
                <w:color w:val="263238"/>
                <w:sz w:val="18"/>
              </w:rPr>
              <w:t>Data Domain</w:t>
            </w:r>
          </w:p>
        </w:tc>
        <w:tc>
          <w:tcPr>
            <w:tcW w:w="2400" w:type="dxa"/>
            <w:shd w:val="clear" w:fill="ECEFF1"/>
          </w:tcPr>
          <w:p>
            <w:pPr>
              <w:spacing w:before="50" w:after="50" w:line="264" w:lineRule="auto"/>
            </w:pPr>
            <w:r>
              <w:rPr>
                <w:b/>
                <w:color w:val="263238"/>
                <w:sz w:val="18"/>
              </w:rPr>
              <w:t>Owning System</w:t>
            </w:r>
          </w:p>
        </w:tc>
        <w:tc>
          <w:tcPr>
            <w:tcW w:w="3626" w:type="dxa"/>
            <w:shd w:val="clear" w:fill="ECEFF1"/>
          </w:tcPr>
          <w:p>
            <w:pPr>
              <w:spacing w:before="50" w:after="50" w:line="264" w:lineRule="auto"/>
            </w:pPr>
            <w:r>
              <w:rPr>
                <w:b/>
                <w:color w:val="263238"/>
                <w:sz w:val="18"/>
              </w:rPr>
              <w:t>Rule</w:t>
            </w:r>
          </w:p>
        </w:tc>
      </w:tr>
      <w:tr>
        <w:tc>
          <w:tcPr>
            <w:tcW w:w="3000" w:type="dxa"/>
          </w:tcPr>
          <w:p>
            <w:pPr>
              <w:spacing w:before="50" w:after="50" w:line="264" w:lineRule="auto"/>
            </w:pPr>
            <w:r>
              <w:rPr>
                <w:color w:val="546E7A"/>
                <w:sz w:val="18"/>
              </w:rPr>
              <w:t>Revenue, gross profit, net profit, cash</w:t>
            </w:r>
          </w:p>
        </w:tc>
        <w:tc>
          <w:tcPr>
            <w:tcW w:w="2400" w:type="dxa"/>
          </w:tcPr>
          <w:p>
            <w:pPr>
              <w:spacing w:before="50" w:after="50" w:line="264" w:lineRule="auto"/>
            </w:pPr>
            <w:r>
              <w:rPr>
                <w:color w:val="546E7A"/>
                <w:sz w:val="18"/>
              </w:rPr>
              <w:t>Accounting &amp; Finance</w:t>
            </w:r>
          </w:p>
        </w:tc>
        <w:tc>
          <w:tcPr>
            <w:tcW w:w="3626" w:type="dxa"/>
          </w:tcPr>
          <w:p>
            <w:pPr>
              <w:spacing w:before="50" w:after="50" w:line="264" w:lineRule="auto"/>
            </w:pPr>
            <w:r>
              <w:rPr>
                <w:color w:val="546E7A"/>
                <w:sz w:val="18"/>
              </w:rPr>
              <w:t>Single source; all other modules read-only</w:t>
            </w:r>
          </w:p>
        </w:tc>
      </w:tr>
      <w:tr>
        <w:tc>
          <w:tcPr>
            <w:tcW w:w="3000" w:type="dxa"/>
          </w:tcPr>
          <w:p>
            <w:pPr>
              <w:spacing w:before="50" w:after="50" w:line="264" w:lineRule="auto"/>
            </w:pPr>
            <w:r>
              <w:rPr>
                <w:color w:val="546E7A"/>
                <w:sz w:val="18"/>
              </w:rPr>
              <w:t>Accounts Receivable / Payable</w:t>
            </w:r>
          </w:p>
        </w:tc>
        <w:tc>
          <w:tcPr>
            <w:tcW w:w="2400" w:type="dxa"/>
          </w:tcPr>
          <w:p>
            <w:pPr>
              <w:spacing w:before="50" w:after="50" w:line="264" w:lineRule="auto"/>
            </w:pPr>
            <w:r>
              <w:rPr>
                <w:color w:val="546E7A"/>
                <w:sz w:val="18"/>
              </w:rPr>
              <w:t>Accounting &amp; Finance</w:t>
            </w:r>
          </w:p>
        </w:tc>
        <w:tc>
          <w:tcPr>
            <w:tcW w:w="3626" w:type="dxa"/>
          </w:tcPr>
          <w:p>
            <w:pPr>
              <w:spacing w:before="50" w:after="50" w:line="264" w:lineRule="auto"/>
            </w:pPr>
            <w:r>
              <w:rPr>
                <w:color w:val="546E7A"/>
                <w:sz w:val="18"/>
              </w:rPr>
              <w:t>Updated weekly at minimum; aging computed weekly</w:t>
            </w:r>
          </w:p>
        </w:tc>
      </w:tr>
      <w:tr>
        <w:tc>
          <w:tcPr>
            <w:tcW w:w="3000" w:type="dxa"/>
          </w:tcPr>
          <w:p>
            <w:pPr>
              <w:spacing w:before="50" w:after="50" w:line="264" w:lineRule="auto"/>
            </w:pPr>
            <w:r>
              <w:rPr>
                <w:color w:val="546E7A"/>
                <w:sz w:val="18"/>
              </w:rPr>
              <w:t>Leads, pipeline, win/loss</w:t>
            </w:r>
          </w:p>
        </w:tc>
        <w:tc>
          <w:tcPr>
            <w:tcW w:w="2400" w:type="dxa"/>
          </w:tcPr>
          <w:p>
            <w:pPr>
              <w:spacing w:before="50" w:after="50" w:line="264" w:lineRule="auto"/>
            </w:pPr>
            <w:r>
              <w:rPr>
                <w:color w:val="546E7A"/>
                <w:sz w:val="18"/>
              </w:rPr>
              <w:t>CRM</w:t>
            </w:r>
          </w:p>
        </w:tc>
        <w:tc>
          <w:tcPr>
            <w:tcW w:w="3626" w:type="dxa"/>
          </w:tcPr>
          <w:p>
            <w:pPr>
              <w:spacing w:before="50" w:after="50" w:line="264" w:lineRule="auto"/>
            </w:pPr>
            <w:r>
              <w:rPr>
                <w:color w:val="546E7A"/>
                <w:sz w:val="18"/>
              </w:rPr>
              <w:t>Every quotation linked to a CRM opportunity record</w:t>
            </w:r>
          </w:p>
        </w:tc>
      </w:tr>
      <w:tr>
        <w:tc>
          <w:tcPr>
            <w:tcW w:w="3000" w:type="dxa"/>
          </w:tcPr>
          <w:p>
            <w:pPr>
              <w:spacing w:before="50" w:after="50" w:line="264" w:lineRule="auto"/>
            </w:pPr>
            <w:r>
              <w:rPr>
                <w:color w:val="546E7A"/>
                <w:sz w:val="18"/>
              </w:rPr>
              <w:t>Customer master data</w:t>
            </w:r>
          </w:p>
        </w:tc>
        <w:tc>
          <w:tcPr>
            <w:tcW w:w="2400" w:type="dxa"/>
          </w:tcPr>
          <w:p>
            <w:pPr>
              <w:spacing w:before="50" w:after="50" w:line="264" w:lineRule="auto"/>
            </w:pPr>
            <w:r>
              <w:rPr>
                <w:color w:val="546E7A"/>
                <w:sz w:val="18"/>
              </w:rPr>
              <w:t>CRM</w:t>
            </w:r>
          </w:p>
        </w:tc>
        <w:tc>
          <w:tcPr>
            <w:tcW w:w="3626" w:type="dxa"/>
          </w:tcPr>
          <w:p>
            <w:pPr>
              <w:spacing w:before="50" w:after="50" w:line="264" w:lineRule="auto"/>
            </w:pPr>
            <w:r>
              <w:rPr>
                <w:color w:val="546E7A"/>
                <w:sz w:val="18"/>
              </w:rPr>
              <w:t>Finance references the CRM customer ID</w:t>
            </w:r>
          </w:p>
        </w:tc>
      </w:tr>
      <w:tr>
        <w:tc>
          <w:tcPr>
            <w:tcW w:w="3000" w:type="dxa"/>
          </w:tcPr>
          <w:p>
            <w:pPr>
              <w:spacing w:before="50" w:after="50" w:line="264" w:lineRule="auto"/>
            </w:pPr>
            <w:r>
              <w:rPr>
                <w:color w:val="546E7A"/>
                <w:sz w:val="18"/>
              </w:rPr>
              <w:t>Project budget vs. actual</w:t>
            </w:r>
          </w:p>
        </w:tc>
        <w:tc>
          <w:tcPr>
            <w:tcW w:w="2400" w:type="dxa"/>
          </w:tcPr>
          <w:p>
            <w:pPr>
              <w:spacing w:before="50" w:after="50" w:line="264" w:lineRule="auto"/>
            </w:pPr>
            <w:r>
              <w:rPr>
                <w:color w:val="546E7A"/>
                <w:sz w:val="18"/>
              </w:rPr>
              <w:t>Project Mgmt + Finance</w:t>
            </w:r>
          </w:p>
        </w:tc>
        <w:tc>
          <w:tcPr>
            <w:tcW w:w="3626" w:type="dxa"/>
          </w:tcPr>
          <w:p>
            <w:pPr>
              <w:spacing w:before="50" w:after="50" w:line="264" w:lineRule="auto"/>
            </w:pPr>
            <w:r>
              <w:rPr>
                <w:color w:val="546E7A"/>
                <w:sz w:val="18"/>
              </w:rPr>
              <w:t>PM module owns progress; Finance owns cost actuals</w:t>
            </w:r>
          </w:p>
        </w:tc>
      </w:tr>
      <w:tr>
        <w:tc>
          <w:tcPr>
            <w:tcW w:w="3000" w:type="dxa"/>
          </w:tcPr>
          <w:p>
            <w:pPr>
              <w:spacing w:before="50" w:after="50" w:line="264" w:lineRule="auto"/>
            </w:pPr>
            <w:r>
              <w:rPr>
                <w:color w:val="546E7A"/>
                <w:sz w:val="18"/>
              </w:rPr>
              <w:t>Supplier and pricing history</w:t>
            </w:r>
          </w:p>
        </w:tc>
        <w:tc>
          <w:tcPr>
            <w:tcW w:w="2400" w:type="dxa"/>
          </w:tcPr>
          <w:p>
            <w:pPr>
              <w:spacing w:before="50" w:after="50" w:line="264" w:lineRule="auto"/>
            </w:pPr>
            <w:r>
              <w:rPr>
                <w:color w:val="546E7A"/>
                <w:sz w:val="18"/>
              </w:rPr>
              <w:t>Procurement</w:t>
            </w:r>
          </w:p>
        </w:tc>
        <w:tc>
          <w:tcPr>
            <w:tcW w:w="3626" w:type="dxa"/>
          </w:tcPr>
          <w:p>
            <w:pPr>
              <w:spacing w:before="50" w:after="50" w:line="264" w:lineRule="auto"/>
            </w:pPr>
            <w:r>
              <w:rPr>
                <w:color w:val="546E7A"/>
                <w:sz w:val="18"/>
              </w:rPr>
              <w:t>Purchase-order history is authoritative</w:t>
            </w:r>
          </w:p>
        </w:tc>
      </w:tr>
      <w:tr>
        <w:tc>
          <w:tcPr>
            <w:tcW w:w="3000" w:type="dxa"/>
          </w:tcPr>
          <w:p>
            <w:pPr>
              <w:spacing w:before="50" w:after="50" w:line="264" w:lineRule="auto"/>
            </w:pPr>
            <w:r>
              <w:rPr>
                <w:color w:val="546E7A"/>
                <w:sz w:val="18"/>
              </w:rPr>
              <w:t>Employee KPIs and attendance</w:t>
            </w:r>
          </w:p>
        </w:tc>
        <w:tc>
          <w:tcPr>
            <w:tcW w:w="2400" w:type="dxa"/>
          </w:tcPr>
          <w:p>
            <w:pPr>
              <w:spacing w:before="50" w:after="50" w:line="264" w:lineRule="auto"/>
            </w:pPr>
            <w:r>
              <w:rPr>
                <w:color w:val="546E7A"/>
                <w:sz w:val="18"/>
              </w:rPr>
              <w:t>HR &amp; Payroll</w:t>
            </w:r>
          </w:p>
        </w:tc>
        <w:tc>
          <w:tcPr>
            <w:tcW w:w="3626" w:type="dxa"/>
          </w:tcPr>
          <w:p>
            <w:pPr>
              <w:spacing w:before="50" w:after="50" w:line="264" w:lineRule="auto"/>
            </w:pPr>
            <w:r>
              <w:rPr>
                <w:color w:val="546E7A"/>
                <w:sz w:val="18"/>
              </w:rPr>
              <w:t>RGI-AI reads aggregated data only</w:t>
            </w:r>
          </w:p>
        </w:tc>
      </w:tr>
    </w:tbl>
    <w:p>
      <w:pPr>
        <w:spacing w:after="120"/>
      </w:pPr>
      <w:r/>
    </w:p>
    <w:p>
      <w:r>
        <w:t>Data quality controls:</w:t>
      </w:r>
    </w:p>
    <w:p>
      <w:pPr>
        <w:spacing w:after="100" w:line="300" w:lineRule="auto"/>
        <w:ind w:left="500" w:hanging="260"/>
      </w:pPr>
      <w:r>
        <w:rPr>
          <w:b/>
          <w:color w:val="37474F"/>
        </w:rPr>
        <w:t xml:space="preserve">•  </w:t>
      </w:r>
      <w:r>
        <w:t>Minimum data thresholds — a feature stays off until its required history exists (see Section 7).</w:t>
      </w:r>
    </w:p>
    <w:p>
      <w:pPr>
        <w:spacing w:after="100" w:line="300" w:lineRule="auto"/>
        <w:ind w:left="500" w:hanging="260"/>
      </w:pPr>
      <w:r>
        <w:rPr>
          <w:b/>
          <w:color w:val="37474F"/>
        </w:rPr>
        <w:t xml:space="preserve">•  </w:t>
      </w:r>
      <w:r>
        <w:t>Weekly automated reconciliation between CRM, Finance, and Project Management totals; discrepancies are flagged, not silently averaged.</w:t>
      </w:r>
    </w:p>
    <w:p>
      <w:pPr>
        <w:spacing w:after="100" w:line="300" w:lineRule="auto"/>
        <w:ind w:left="500" w:hanging="260"/>
      </w:pPr>
      <w:r>
        <w:rPr>
          <w:b/>
          <w:color w:val="37474F"/>
        </w:rPr>
        <w:t xml:space="preserve">•  </w:t>
      </w:r>
      <w:r>
        <w:t>A data completeness score per module is shown on the dashboard; predictions are suppressed when the score falls below threshold.</w:t>
      </w:r>
    </w:p>
    <w:p>
      <w:pPr>
        <w:spacing w:after="100" w:line="300" w:lineRule="auto"/>
        <w:ind w:left="500" w:hanging="260"/>
      </w:pPr>
      <w:r>
        <w:rPr>
          <w:b/>
          <w:color w:val="37474F"/>
        </w:rPr>
        <w:t xml:space="preserve">•  </w:t>
      </w:r>
      <w:r>
        <w:t>No manual edits inside RGI-AI — corrections are always made in the owning module, then flow through.</w:t>
      </w:r>
    </w:p>
    <w:p>
      <w:pPr>
        <w:pStyle w:val="Heading1"/>
      </w:pPr>
      <w:r>
        <w:t>13. Governance: Human-in-the-Loop</w:t>
      </w:r>
    </w:p>
    <w:p>
      <w:r>
        <w:t>RGI-AI advises; people decide. The following governance rules are mandatory:</w:t>
      </w:r>
    </w:p>
    <w:p>
      <w:pPr>
        <w:spacing w:after="100" w:line="300" w:lineRule="auto"/>
        <w:ind w:left="500" w:hanging="260"/>
      </w:pPr>
      <w:r>
        <w:rPr>
          <w:b/>
          <w:color w:val="37474F"/>
        </w:rPr>
        <w:t xml:space="preserve">•  </w:t>
      </w:r>
      <w:r>
        <w:t>No recommendation is executed automatically. Pricing changes, customer communications, payments, and hiring decisions always require human approval.</w:t>
      </w:r>
    </w:p>
    <w:p>
      <w:pPr>
        <w:spacing w:after="100" w:line="300" w:lineRule="auto"/>
        <w:ind w:left="500" w:hanging="260"/>
      </w:pPr>
      <w:r>
        <w:rPr>
          <w:b/>
          <w:color w:val="37474F"/>
        </w:rPr>
        <w:t xml:space="preserve">•  </w:t>
      </w:r>
      <w:r>
        <w:t>Every recommendation is logged with its content, the decision, the decision-maker, the reason code, and the eventual outcome.</w:t>
      </w:r>
    </w:p>
    <w:p>
      <w:pPr>
        <w:spacing w:after="100" w:line="300" w:lineRule="auto"/>
        <w:ind w:left="500" w:hanging="260"/>
      </w:pPr>
      <w:r>
        <w:rPr>
          <w:b/>
          <w:color w:val="37474F"/>
        </w:rPr>
        <w:t xml:space="preserve">•  </w:t>
      </w:r>
      <w:r>
        <w:t>The Directors review the recommendation log and alert precision in a monthly governance meeting.</w:t>
      </w:r>
    </w:p>
    <w:p>
      <w:pPr>
        <w:spacing w:after="100" w:line="300" w:lineRule="auto"/>
        <w:ind w:left="500" w:hanging="260"/>
      </w:pPr>
      <w:r>
        <w:rPr>
          <w:b/>
          <w:color w:val="37474F"/>
        </w:rPr>
        <w:t xml:space="preserve">•  </w:t>
      </w:r>
      <w:r>
        <w:t>The Learning Engine trains only on data that passed through this decision log — never on raw, unreviewed events.</w:t>
      </w:r>
    </w:p>
    <w:p>
      <w:pPr>
        <w:spacing w:after="100" w:line="300" w:lineRule="auto"/>
        <w:ind w:left="500" w:hanging="260"/>
      </w:pPr>
      <w:r>
        <w:rPr>
          <w:b/>
          <w:color w:val="37474F"/>
        </w:rPr>
        <w:t xml:space="preserve">•  </w:t>
      </w:r>
      <w:r>
        <w:t>Any staff member can flag a wrong or harmful recommendation; flags are reviewed within five business days.</w:t>
      </w:r>
    </w:p>
    <w:p>
      <w:pPr>
        <w:pStyle w:val="Heading1"/>
      </w:pPr>
      <w:r>
        <w:t>14. Access Control and Data Security</w:t>
      </w:r>
    </w:p>
    <w:p>
      <w:r>
        <w:t>Because RGI-AI reads across finance and HR data, access is role-based:</w:t>
      </w:r>
    </w:p>
    <w:tbl>
      <w:tblPr>
        <w:tblW w:w="5000" w:type="pct"/>
        <w:tblBorders>
          <w:top w:val="single" w:color="37474F" w:sz="12"/>
          <w:left w:val="nil"/>
          <w:bottom w:val="single" w:color="37474F" w:sz="12"/>
          <w:right w:val="nil"/>
          <w:insideH w:val="single" w:color="CFD8DC" w:sz="4"/>
          <w:insideV w:val="nil"/>
        </w:tblBorders>
      </w:tblPr>
      <w:tblGrid>
        <w:gridCol w:w="3900"/>
        <w:gridCol w:w="5126"/>
      </w:tblGrid>
      <w:tr>
        <w:trPr>
          <w:tblHeader/>
        </w:trPr>
        <w:tc>
          <w:tcPr>
            <w:tcW w:w="3900" w:type="dxa"/>
            <w:shd w:val="clear" w:fill="ECEFF1"/>
          </w:tcPr>
          <w:p>
            <w:pPr>
              <w:spacing w:before="50" w:after="50" w:line="264" w:lineRule="auto"/>
            </w:pPr>
            <w:r>
              <w:rPr>
                <w:b/>
                <w:color w:val="263238"/>
                <w:sz w:val="18"/>
              </w:rPr>
              <w:t>Role</w:t>
            </w:r>
          </w:p>
        </w:tc>
        <w:tc>
          <w:tcPr>
            <w:tcW w:w="5126" w:type="dxa"/>
            <w:shd w:val="clear" w:fill="ECEFF1"/>
          </w:tcPr>
          <w:p>
            <w:pPr>
              <w:spacing w:before="50" w:after="50" w:line="264" w:lineRule="auto"/>
            </w:pPr>
            <w:r>
              <w:rPr>
                <w:b/>
                <w:color w:val="263238"/>
                <w:sz w:val="18"/>
              </w:rPr>
              <w:t>Access Level</w:t>
            </w:r>
          </w:p>
        </w:tc>
      </w:tr>
      <w:tr>
        <w:tc>
          <w:tcPr>
            <w:tcW w:w="3900" w:type="dxa"/>
          </w:tcPr>
          <w:p>
            <w:pPr>
              <w:spacing w:before="50" w:after="50" w:line="264" w:lineRule="auto"/>
            </w:pPr>
            <w:r>
              <w:rPr>
                <w:color w:val="546E7A"/>
                <w:sz w:val="18"/>
              </w:rPr>
              <w:t>Directors (Allan Roy Aparis, Christopher Troy Dy, Princess Algabre)</w:t>
            </w:r>
          </w:p>
        </w:tc>
        <w:tc>
          <w:tcPr>
            <w:tcW w:w="5126" w:type="dxa"/>
          </w:tcPr>
          <w:p>
            <w:pPr>
              <w:spacing w:before="50" w:after="50" w:line="264" w:lineRule="auto"/>
            </w:pPr>
            <w:r>
              <w:rPr>
                <w:color w:val="546E7A"/>
                <w:sz w:val="18"/>
              </w:rPr>
              <w:t>Full access, including financials and HR aggregates</w:t>
            </w:r>
          </w:p>
        </w:tc>
      </w:tr>
      <w:tr>
        <w:tc>
          <w:tcPr>
            <w:tcW w:w="3900" w:type="dxa"/>
          </w:tcPr>
          <w:p>
            <w:pPr>
              <w:spacing w:before="50" w:after="50" w:line="264" w:lineRule="auto"/>
            </w:pPr>
            <w:r>
              <w:rPr>
                <w:color w:val="546E7A"/>
                <w:sz w:val="18"/>
              </w:rPr>
              <w:t>Sales / Business Development (Archie)</w:t>
            </w:r>
          </w:p>
        </w:tc>
        <w:tc>
          <w:tcPr>
            <w:tcW w:w="5126" w:type="dxa"/>
          </w:tcPr>
          <w:p>
            <w:pPr>
              <w:spacing w:before="50" w:after="50" w:line="264" w:lineRule="auto"/>
            </w:pPr>
            <w:r>
              <w:rPr>
                <w:color w:val="546E7A"/>
                <w:sz w:val="18"/>
              </w:rPr>
              <w:t>Opportunities, sales alerts, customer insights; no payroll or HR detail</w:t>
            </w:r>
          </w:p>
        </w:tc>
      </w:tr>
      <w:tr>
        <w:tc>
          <w:tcPr>
            <w:tcW w:w="3900" w:type="dxa"/>
          </w:tcPr>
          <w:p>
            <w:pPr>
              <w:spacing w:before="50" w:after="50" w:line="264" w:lineRule="auto"/>
            </w:pPr>
            <w:r>
              <w:rPr>
                <w:color w:val="546E7A"/>
                <w:sz w:val="18"/>
              </w:rPr>
              <w:t>Project Managers</w:t>
            </w:r>
          </w:p>
        </w:tc>
        <w:tc>
          <w:tcPr>
            <w:tcW w:w="5126" w:type="dxa"/>
          </w:tcPr>
          <w:p>
            <w:pPr>
              <w:spacing w:before="50" w:after="50" w:line="264" w:lineRule="auto"/>
            </w:pPr>
            <w:r>
              <w:rPr>
                <w:color w:val="546E7A"/>
                <w:sz w:val="18"/>
              </w:rPr>
              <w:t>Own projects' profitability, budgets, and alerts</w:t>
            </w:r>
          </w:p>
        </w:tc>
      </w:tr>
      <w:tr>
        <w:tc>
          <w:tcPr>
            <w:tcW w:w="3900" w:type="dxa"/>
          </w:tcPr>
          <w:p>
            <w:pPr>
              <w:spacing w:before="50" w:after="50" w:line="264" w:lineRule="auto"/>
            </w:pPr>
            <w:r>
              <w:rPr>
                <w:color w:val="546E7A"/>
                <w:sz w:val="18"/>
              </w:rPr>
              <w:t>Finance staff</w:t>
            </w:r>
          </w:p>
        </w:tc>
        <w:tc>
          <w:tcPr>
            <w:tcW w:w="5126" w:type="dxa"/>
          </w:tcPr>
          <w:p>
            <w:pPr>
              <w:spacing w:before="50" w:after="50" w:line="264" w:lineRule="auto"/>
            </w:pPr>
            <w:r>
              <w:rPr>
                <w:color w:val="546E7A"/>
                <w:sz w:val="18"/>
              </w:rPr>
              <w:t>Finance data and reports; no HR detail</w:t>
            </w:r>
          </w:p>
        </w:tc>
      </w:tr>
      <w:tr>
        <w:tc>
          <w:tcPr>
            <w:tcW w:w="3900" w:type="dxa"/>
          </w:tcPr>
          <w:p>
            <w:pPr>
              <w:spacing w:before="50" w:after="50" w:line="264" w:lineRule="auto"/>
            </w:pPr>
            <w:r>
              <w:rPr>
                <w:color w:val="546E7A"/>
                <w:sz w:val="18"/>
              </w:rPr>
              <w:t>Technical staff (Jp, Riderick, Dafdty, Ron)</w:t>
            </w:r>
          </w:p>
        </w:tc>
        <w:tc>
          <w:tcPr>
            <w:tcW w:w="5126" w:type="dxa"/>
          </w:tcPr>
          <w:p>
            <w:pPr>
              <w:spacing w:before="50" w:after="50" w:line="264" w:lineRule="auto"/>
            </w:pPr>
            <w:r>
              <w:rPr>
                <w:color w:val="546E7A"/>
                <w:sz w:val="18"/>
              </w:rPr>
              <w:t>No RGI-AI access — operational modules only</w:t>
            </w:r>
          </w:p>
        </w:tc>
      </w:tr>
    </w:tbl>
    <w:p>
      <w:pPr>
        <w:spacing w:after="120"/>
      </w:pPr>
      <w:r/>
    </w:p>
    <w:p>
      <w:pPr>
        <w:spacing w:after="100" w:line="300" w:lineRule="auto"/>
        <w:ind w:left="500" w:hanging="260"/>
      </w:pPr>
      <w:r>
        <w:rPr>
          <w:b/>
          <w:color w:val="37474F"/>
        </w:rPr>
        <w:t xml:space="preserve">•  </w:t>
      </w:r>
      <w:r>
        <w:t>All access is logged (who viewed what, when); logs are retained for audit.</w:t>
      </w:r>
    </w:p>
    <w:p>
      <w:pPr>
        <w:spacing w:after="100" w:line="300" w:lineRule="auto"/>
        <w:ind w:left="500" w:hanging="260"/>
      </w:pPr>
      <w:r>
        <w:rPr>
          <w:b/>
          <w:color w:val="37474F"/>
        </w:rPr>
        <w:t xml:space="preserve">•  </w:t>
      </w:r>
      <w:r>
        <w:t>HR and payroll data is shown only as aggregated indicators, never individual salary detail.</w:t>
      </w:r>
    </w:p>
    <w:p>
      <w:pPr>
        <w:pStyle w:val="Heading1"/>
      </w:pPr>
      <w:r>
        <w:t>15. Module Success Metrics</w:t>
      </w:r>
    </w:p>
    <w:p>
      <w:r>
        <w:t>RGI-AI is itself measured. The module is reviewed quarterly against these targets:</w:t>
      </w:r>
    </w:p>
    <w:tbl>
      <w:tblPr>
        <w:tblW w:w="5000" w:type="pct"/>
        <w:tblBorders>
          <w:top w:val="single" w:color="37474F" w:sz="12"/>
          <w:left w:val="nil"/>
          <w:bottom w:val="single" w:color="37474F" w:sz="12"/>
          <w:right w:val="nil"/>
          <w:insideH w:val="single" w:color="CFD8DC" w:sz="4"/>
          <w:insideV w:val="nil"/>
        </w:tblBorders>
      </w:tblPr>
      <w:tblGrid>
        <w:gridCol w:w="2900"/>
        <w:gridCol w:w="3000"/>
        <w:gridCol w:w="3126"/>
      </w:tblGrid>
      <w:tr>
        <w:trPr>
          <w:tblHeader/>
        </w:trPr>
        <w:tc>
          <w:tcPr>
            <w:tcW w:w="2900" w:type="dxa"/>
            <w:shd w:val="clear" w:fill="ECEFF1"/>
          </w:tcPr>
          <w:p>
            <w:pPr>
              <w:spacing w:before="50" w:after="50" w:line="264" w:lineRule="auto"/>
            </w:pPr>
            <w:r>
              <w:rPr>
                <w:b/>
                <w:color w:val="263238"/>
                <w:sz w:val="18"/>
              </w:rPr>
              <w:t>Metric</w:t>
            </w:r>
          </w:p>
        </w:tc>
        <w:tc>
          <w:tcPr>
            <w:tcW w:w="3000" w:type="dxa"/>
            <w:shd w:val="clear" w:fill="ECEFF1"/>
          </w:tcPr>
          <w:p>
            <w:pPr>
              <w:spacing w:before="50" w:after="50" w:line="264" w:lineRule="auto"/>
            </w:pPr>
            <w:r>
              <w:rPr>
                <w:b/>
                <w:color w:val="263238"/>
                <w:sz w:val="18"/>
              </w:rPr>
              <w:t>Target</w:t>
            </w:r>
          </w:p>
        </w:tc>
        <w:tc>
          <w:tcPr>
            <w:tcW w:w="3126" w:type="dxa"/>
            <w:shd w:val="clear" w:fill="ECEFF1"/>
          </w:tcPr>
          <w:p>
            <w:pPr>
              <w:spacing w:before="50" w:after="50" w:line="264" w:lineRule="auto"/>
            </w:pPr>
            <w:r>
              <w:rPr>
                <w:b/>
                <w:color w:val="263238"/>
                <w:sz w:val="18"/>
              </w:rPr>
              <w:t>How Measured</w:t>
            </w:r>
          </w:p>
        </w:tc>
      </w:tr>
      <w:tr>
        <w:tc>
          <w:tcPr>
            <w:tcW w:w="2900" w:type="dxa"/>
          </w:tcPr>
          <w:p>
            <w:pPr>
              <w:spacing w:before="50" w:after="50" w:line="264" w:lineRule="auto"/>
            </w:pPr>
            <w:r>
              <w:rPr>
                <w:color w:val="546E7A"/>
                <w:sz w:val="18"/>
              </w:rPr>
              <w:t>Revenue forecast accuracy</w:t>
            </w:r>
          </w:p>
        </w:tc>
        <w:tc>
          <w:tcPr>
            <w:tcW w:w="3000" w:type="dxa"/>
          </w:tcPr>
          <w:p>
            <w:pPr>
              <w:spacing w:before="50" w:after="50" w:line="264" w:lineRule="auto"/>
            </w:pPr>
            <w:r>
              <w:rPr>
                <w:color w:val="546E7A"/>
                <w:sz w:val="18"/>
              </w:rPr>
              <w:t>Within +/-10% by month 6</w:t>
            </w:r>
          </w:p>
        </w:tc>
        <w:tc>
          <w:tcPr>
            <w:tcW w:w="3126" w:type="dxa"/>
          </w:tcPr>
          <w:p>
            <w:pPr>
              <w:spacing w:before="50" w:after="50" w:line="264" w:lineRule="auto"/>
            </w:pPr>
            <w:r>
              <w:rPr>
                <w:color w:val="546E7A"/>
                <w:sz w:val="18"/>
              </w:rPr>
              <w:t>Forecast vs. actual, monthly</w:t>
            </w:r>
          </w:p>
        </w:tc>
      </w:tr>
      <w:tr>
        <w:tc>
          <w:tcPr>
            <w:tcW w:w="2900" w:type="dxa"/>
          </w:tcPr>
          <w:p>
            <w:pPr>
              <w:spacing w:before="50" w:after="50" w:line="264" w:lineRule="auto"/>
            </w:pPr>
            <w:r>
              <w:rPr>
                <w:color w:val="546E7A"/>
                <w:sz w:val="18"/>
              </w:rPr>
              <w:t>Recommendation acceptance rate</w:t>
            </w:r>
          </w:p>
        </w:tc>
        <w:tc>
          <w:tcPr>
            <w:tcW w:w="3000" w:type="dxa"/>
          </w:tcPr>
          <w:p>
            <w:pPr>
              <w:spacing w:before="50" w:after="50" w:line="264" w:lineRule="auto"/>
            </w:pPr>
            <w:r>
              <w:rPr>
                <w:color w:val="546E7A"/>
                <w:sz w:val="18"/>
              </w:rPr>
              <w:t>40%+ of Phase-1 recommendations acted on</w:t>
            </w:r>
          </w:p>
        </w:tc>
        <w:tc>
          <w:tcPr>
            <w:tcW w:w="3126" w:type="dxa"/>
          </w:tcPr>
          <w:p>
            <w:pPr>
              <w:spacing w:before="50" w:after="50" w:line="264" w:lineRule="auto"/>
            </w:pPr>
            <w:r>
              <w:rPr>
                <w:color w:val="546E7A"/>
                <w:sz w:val="18"/>
              </w:rPr>
              <w:t>Accept/reject decision log</w:t>
            </w:r>
          </w:p>
        </w:tc>
      </w:tr>
      <w:tr>
        <w:tc>
          <w:tcPr>
            <w:tcW w:w="2900" w:type="dxa"/>
          </w:tcPr>
          <w:p>
            <w:pPr>
              <w:spacing w:before="50" w:after="50" w:line="264" w:lineRule="auto"/>
            </w:pPr>
            <w:r>
              <w:rPr>
                <w:color w:val="546E7A"/>
                <w:sz w:val="18"/>
              </w:rPr>
              <w:t>Alert precision</w:t>
            </w:r>
          </w:p>
        </w:tc>
        <w:tc>
          <w:tcPr>
            <w:tcW w:w="3000" w:type="dxa"/>
          </w:tcPr>
          <w:p>
            <w:pPr>
              <w:spacing w:before="50" w:after="50" w:line="264" w:lineRule="auto"/>
            </w:pPr>
            <w:r>
              <w:rPr>
                <w:color w:val="546E7A"/>
                <w:sz w:val="18"/>
              </w:rPr>
              <w:t>80%+ true alerts (false alarms below 20%)</w:t>
            </w:r>
          </w:p>
        </w:tc>
        <w:tc>
          <w:tcPr>
            <w:tcW w:w="3126" w:type="dxa"/>
          </w:tcPr>
          <w:p>
            <w:pPr>
              <w:spacing w:before="50" w:after="50" w:line="264" w:lineRule="auto"/>
            </w:pPr>
            <w:r>
              <w:rPr>
                <w:color w:val="546E7A"/>
                <w:sz w:val="18"/>
              </w:rPr>
              <w:t>Monthly alert review</w:t>
            </w:r>
          </w:p>
        </w:tc>
      </w:tr>
      <w:tr>
        <w:tc>
          <w:tcPr>
            <w:tcW w:w="2900" w:type="dxa"/>
          </w:tcPr>
          <w:p>
            <w:pPr>
              <w:spacing w:before="50" w:after="50" w:line="264" w:lineRule="auto"/>
            </w:pPr>
            <w:r>
              <w:rPr>
                <w:color w:val="546E7A"/>
                <w:sz w:val="18"/>
              </w:rPr>
              <w:t>Collections improvement</w:t>
            </w:r>
          </w:p>
        </w:tc>
        <w:tc>
          <w:tcPr>
            <w:tcW w:w="3000" w:type="dxa"/>
          </w:tcPr>
          <w:p>
            <w:pPr>
              <w:spacing w:before="50" w:after="50" w:line="264" w:lineRule="auto"/>
            </w:pPr>
            <w:r>
              <w:rPr>
                <w:color w:val="546E7A"/>
                <w:sz w:val="18"/>
              </w:rPr>
              <w:t>Reduced average AR days vs. pre-RGI baseline</w:t>
            </w:r>
          </w:p>
        </w:tc>
        <w:tc>
          <w:tcPr>
            <w:tcW w:w="3126" w:type="dxa"/>
          </w:tcPr>
          <w:p>
            <w:pPr>
              <w:spacing w:before="50" w:after="50" w:line="264" w:lineRule="auto"/>
            </w:pPr>
            <w:r>
              <w:rPr>
                <w:color w:val="546E7A"/>
                <w:sz w:val="18"/>
              </w:rPr>
              <w:t>Finance aging report</w:t>
            </w:r>
          </w:p>
        </w:tc>
      </w:tr>
      <w:tr>
        <w:tc>
          <w:tcPr>
            <w:tcW w:w="2900" w:type="dxa"/>
          </w:tcPr>
          <w:p>
            <w:pPr>
              <w:spacing w:before="50" w:after="50" w:line="264" w:lineRule="auto"/>
            </w:pPr>
            <w:r>
              <w:rPr>
                <w:color w:val="546E7A"/>
                <w:sz w:val="18"/>
              </w:rPr>
              <w:t>Opportunity conversion</w:t>
            </w:r>
          </w:p>
        </w:tc>
        <w:tc>
          <w:tcPr>
            <w:tcW w:w="3000" w:type="dxa"/>
          </w:tcPr>
          <w:p>
            <w:pPr>
              <w:spacing w:before="50" w:after="50" w:line="264" w:lineRule="auto"/>
            </w:pPr>
            <w:r>
              <w:rPr>
                <w:color w:val="546E7A"/>
                <w:sz w:val="18"/>
              </w:rPr>
              <w:t>25%+ of AI-surfaced opportunities reach quotation</w:t>
            </w:r>
          </w:p>
        </w:tc>
        <w:tc>
          <w:tcPr>
            <w:tcW w:w="3126" w:type="dxa"/>
          </w:tcPr>
          <w:p>
            <w:pPr>
              <w:spacing w:before="50" w:after="50" w:line="264" w:lineRule="auto"/>
            </w:pPr>
            <w:r>
              <w:rPr>
                <w:color w:val="546E7A"/>
                <w:sz w:val="18"/>
              </w:rPr>
              <w:t>CRM tracking</w:t>
            </w:r>
          </w:p>
        </w:tc>
      </w:tr>
      <w:tr>
        <w:tc>
          <w:tcPr>
            <w:tcW w:w="2900" w:type="dxa"/>
          </w:tcPr>
          <w:p>
            <w:pPr>
              <w:spacing w:before="50" w:after="50" w:line="264" w:lineRule="auto"/>
            </w:pPr>
            <w:r>
              <w:rPr>
                <w:color w:val="546E7A"/>
                <w:sz w:val="18"/>
              </w:rPr>
              <w:t>Manual analysis eliminated</w:t>
            </w:r>
          </w:p>
        </w:tc>
        <w:tc>
          <w:tcPr>
            <w:tcW w:w="3000" w:type="dxa"/>
          </w:tcPr>
          <w:p>
            <w:pPr>
              <w:spacing w:before="50" w:after="50" w:line="264" w:lineRule="auto"/>
            </w:pPr>
            <w:r>
              <w:rPr>
                <w:color w:val="546E7A"/>
                <w:sz w:val="18"/>
              </w:rPr>
              <w:t>4+ hours per week of manual reporting removed</w:t>
            </w:r>
          </w:p>
        </w:tc>
        <w:tc>
          <w:tcPr>
            <w:tcW w:w="3126" w:type="dxa"/>
          </w:tcPr>
          <w:p>
            <w:pPr>
              <w:spacing w:before="50" w:after="50" w:line="264" w:lineRule="auto"/>
            </w:pPr>
            <w:r>
              <w:rPr>
                <w:color w:val="546E7A"/>
                <w:sz w:val="18"/>
              </w:rPr>
              <w:t>User report</w:t>
            </w:r>
          </w:p>
        </w:tc>
      </w:tr>
    </w:tbl>
    <w:p>
      <w:pPr>
        <w:spacing w:after="120"/>
      </w:pPr>
      <w:r/>
    </w:p>
    <w:p>
      <w:pPr>
        <w:pStyle w:val="Heading1"/>
      </w:pPr>
      <w:r>
        <w:t>16. Phasing Roadmap: Minimum Viable RGI-AI</w:t>
      </w:r>
    </w:p>
    <w:p>
      <w:r>
        <w:t>Given AA2000's team size and current transition, RGI-AI deploys in three phases. Phase 1 deliberately delivers only three outputs:</w:t>
      </w:r>
    </w:p>
    <w:tbl>
      <w:tblPr>
        <w:tblW w:w="5000" w:type="pct"/>
        <w:tblBorders>
          <w:top w:val="single" w:color="37474F" w:sz="12"/>
          <w:left w:val="nil"/>
          <w:bottom w:val="single" w:color="37474F" w:sz="12"/>
          <w:right w:val="nil"/>
          <w:insideH w:val="single" w:color="CFD8DC" w:sz="4"/>
          <w:insideV w:val="nil"/>
        </w:tblBorders>
      </w:tblPr>
      <w:tblGrid>
        <w:gridCol w:w="1500"/>
        <w:gridCol w:w="3900"/>
        <w:gridCol w:w="2100"/>
        <w:gridCol w:w="1526"/>
      </w:tblGrid>
      <w:tr>
        <w:trPr>
          <w:tblHeader/>
        </w:trPr>
        <w:tc>
          <w:tcPr>
            <w:tcW w:w="1500" w:type="dxa"/>
            <w:shd w:val="clear" w:fill="ECEFF1"/>
          </w:tcPr>
          <w:p>
            <w:pPr>
              <w:spacing w:before="50" w:after="50" w:line="264" w:lineRule="auto"/>
            </w:pPr>
            <w:r>
              <w:rPr>
                <w:b/>
                <w:color w:val="263238"/>
                <w:sz w:val="18"/>
              </w:rPr>
              <w:t>Phase</w:t>
            </w:r>
          </w:p>
        </w:tc>
        <w:tc>
          <w:tcPr>
            <w:tcW w:w="3900" w:type="dxa"/>
            <w:shd w:val="clear" w:fill="ECEFF1"/>
          </w:tcPr>
          <w:p>
            <w:pPr>
              <w:spacing w:before="50" w:after="50" w:line="264" w:lineRule="auto"/>
            </w:pPr>
            <w:r>
              <w:rPr>
                <w:b/>
                <w:color w:val="263238"/>
                <w:sz w:val="18"/>
              </w:rPr>
              <w:t>Scope</w:t>
            </w:r>
          </w:p>
        </w:tc>
        <w:tc>
          <w:tcPr>
            <w:tcW w:w="2100" w:type="dxa"/>
            <w:shd w:val="clear" w:fill="ECEFF1"/>
          </w:tcPr>
          <w:p>
            <w:pPr>
              <w:spacing w:before="50" w:after="50" w:line="264" w:lineRule="auto"/>
            </w:pPr>
            <w:r>
              <w:rPr>
                <w:b/>
                <w:color w:val="263238"/>
                <w:sz w:val="18"/>
              </w:rPr>
              <w:t>Prerequisites</w:t>
            </w:r>
          </w:p>
        </w:tc>
        <w:tc>
          <w:tcPr>
            <w:tcW w:w="1526" w:type="dxa"/>
            <w:shd w:val="clear" w:fill="ECEFF1"/>
          </w:tcPr>
          <w:p>
            <w:pPr>
              <w:spacing w:before="50" w:after="50" w:line="264" w:lineRule="auto"/>
            </w:pPr>
            <w:r>
              <w:rPr>
                <w:b/>
                <w:color w:val="263238"/>
                <w:sz w:val="18"/>
              </w:rPr>
              <w:t>Target Timing</w:t>
            </w:r>
          </w:p>
        </w:tc>
      </w:tr>
      <w:tr>
        <w:tc>
          <w:tcPr>
            <w:tcW w:w="1500" w:type="dxa"/>
          </w:tcPr>
          <w:p>
            <w:pPr>
              <w:spacing w:before="50" w:after="50" w:line="264" w:lineRule="auto"/>
            </w:pPr>
            <w:r>
              <w:rPr>
                <w:color w:val="546E7A"/>
                <w:sz w:val="18"/>
              </w:rPr>
              <w:t>Phase 1 — MVP</w:t>
            </w:r>
          </w:p>
        </w:tc>
        <w:tc>
          <w:tcPr>
            <w:tcW w:w="3900" w:type="dxa"/>
          </w:tcPr>
          <w:p>
            <w:pPr>
              <w:spacing w:before="50" w:after="50" w:line="264" w:lineRule="auto"/>
            </w:pPr>
            <w:r>
              <w:rPr>
                <w:color w:val="546E7A"/>
                <w:sz w:val="18"/>
              </w:rPr>
              <w:t>CEO Daily Briefing (Finance + Collections focus); Weekly Opportunity List (CRM-driven); Executive Alerts (cash position + aging receivables)</w:t>
            </w:r>
          </w:p>
        </w:tc>
        <w:tc>
          <w:tcPr>
            <w:tcW w:w="2100" w:type="dxa"/>
          </w:tcPr>
          <w:p>
            <w:pPr>
              <w:spacing w:before="50" w:after="50" w:line="264" w:lineRule="auto"/>
            </w:pPr>
            <w:r>
              <w:rPr>
                <w:color w:val="546E7A"/>
                <w:sz w:val="18"/>
              </w:rPr>
              <w:t>Finance module live; CRM pipeline discipline in place</w:t>
            </w:r>
          </w:p>
        </w:tc>
        <w:tc>
          <w:tcPr>
            <w:tcW w:w="1526" w:type="dxa"/>
          </w:tcPr>
          <w:p>
            <w:pPr>
              <w:spacing w:before="50" w:after="50" w:line="264" w:lineRule="auto"/>
            </w:pPr>
            <w:r>
              <w:rPr>
                <w:color w:val="546E7A"/>
                <w:sz w:val="18"/>
              </w:rPr>
              <w:t>First 90 days</w:t>
            </w:r>
          </w:p>
        </w:tc>
      </w:tr>
      <w:tr>
        <w:tc>
          <w:tcPr>
            <w:tcW w:w="1500" w:type="dxa"/>
          </w:tcPr>
          <w:p>
            <w:pPr>
              <w:spacing w:before="50" w:after="50" w:line="264" w:lineRule="auto"/>
            </w:pPr>
            <w:r>
              <w:rPr>
                <w:color w:val="546E7A"/>
                <w:sz w:val="18"/>
              </w:rPr>
              <w:t>Phase 2</w:t>
            </w:r>
          </w:p>
        </w:tc>
        <w:tc>
          <w:tcPr>
            <w:tcW w:w="3900" w:type="dxa"/>
          </w:tcPr>
          <w:p>
            <w:pPr>
              <w:spacing w:before="50" w:after="50" w:line="264" w:lineRule="auto"/>
            </w:pPr>
            <w:r>
              <w:rPr>
                <w:color w:val="546E7A"/>
                <w:sz w:val="18"/>
              </w:rPr>
              <w:t>Revenue and cash-flow forecasting; churn signals; full alert matrix; structured feedback loop</w:t>
            </w:r>
          </w:p>
        </w:tc>
        <w:tc>
          <w:tcPr>
            <w:tcW w:w="2100" w:type="dxa"/>
          </w:tcPr>
          <w:p>
            <w:pPr>
              <w:spacing w:before="50" w:after="50" w:line="264" w:lineRule="auto"/>
            </w:pPr>
            <w:r>
              <w:rPr>
                <w:color w:val="546E7A"/>
                <w:sz w:val="18"/>
              </w:rPr>
              <w:t>6 months of clean Phase-1 data</w:t>
            </w:r>
          </w:p>
        </w:tc>
        <w:tc>
          <w:tcPr>
            <w:tcW w:w="1526" w:type="dxa"/>
          </w:tcPr>
          <w:p>
            <w:pPr>
              <w:spacing w:before="50" w:after="50" w:line="264" w:lineRule="auto"/>
            </w:pPr>
            <w:r>
              <w:rPr>
                <w:color w:val="546E7A"/>
                <w:sz w:val="18"/>
              </w:rPr>
              <w:t>Months 4–9</w:t>
            </w:r>
          </w:p>
        </w:tc>
      </w:tr>
      <w:tr>
        <w:tc>
          <w:tcPr>
            <w:tcW w:w="1500" w:type="dxa"/>
          </w:tcPr>
          <w:p>
            <w:pPr>
              <w:spacing w:before="50" w:after="50" w:line="264" w:lineRule="auto"/>
            </w:pPr>
            <w:r>
              <w:rPr>
                <w:color w:val="546E7A"/>
                <w:sz w:val="18"/>
              </w:rPr>
              <w:t>Phase 3</w:t>
            </w:r>
          </w:p>
        </w:tc>
        <w:tc>
          <w:tcPr>
            <w:tcW w:w="3900" w:type="dxa"/>
          </w:tcPr>
          <w:p>
            <w:pPr>
              <w:spacing w:before="50" w:after="50" w:line="264" w:lineRule="auto"/>
            </w:pPr>
            <w:r>
              <w:rPr>
                <w:color w:val="546E7A"/>
                <w:sz w:val="18"/>
              </w:rPr>
              <w:t>Full predictive suite; external intelligence feeds; learning-engine optimization</w:t>
            </w:r>
          </w:p>
        </w:tc>
        <w:tc>
          <w:tcPr>
            <w:tcW w:w="2100" w:type="dxa"/>
          </w:tcPr>
          <w:p>
            <w:pPr>
              <w:spacing w:before="50" w:after="50" w:line="264" w:lineRule="auto"/>
            </w:pPr>
            <w:r>
              <w:rPr>
                <w:color w:val="546E7A"/>
                <w:sz w:val="18"/>
              </w:rPr>
              <w:t>12 months of accumulated company data</w:t>
            </w:r>
          </w:p>
        </w:tc>
        <w:tc>
          <w:tcPr>
            <w:tcW w:w="1526" w:type="dxa"/>
          </w:tcPr>
          <w:p>
            <w:pPr>
              <w:spacing w:before="50" w:after="50" w:line="264" w:lineRule="auto"/>
            </w:pPr>
            <w:r>
              <w:rPr>
                <w:color w:val="546E7A"/>
                <w:sz w:val="18"/>
              </w:rPr>
              <w:t>Months 10+</w:t>
            </w:r>
          </w:p>
        </w:tc>
      </w:tr>
    </w:tbl>
    <w:p>
      <w:pPr>
        <w:spacing w:after="120"/>
      </w:pPr>
      <w:r/>
    </w:p>
    <w:p>
      <w:pPr>
        <w:spacing w:after="200" w:line="312" w:lineRule="auto"/>
      </w:pPr>
      <w:r>
        <w:rPr>
          <w:b/>
          <w:color w:val="37474F"/>
        </w:rPr>
        <w:t xml:space="preserve">Sequencing Principle — </w:t>
      </w:r>
      <w:r>
        <w:t>do not pull Phase 2 or 3 features forward. Each phase exists because the AI can only be as good as the data history underneath it.</w:t>
      </w:r>
    </w:p>
    <w:p>
      <w:pPr>
        <w:pStyle w:val="Heading1"/>
      </w:pPr>
      <w:r>
        <w:t>17. Integration</w:t>
      </w:r>
    </w:p>
    <w:p>
      <w:r>
        <w:t>The Revenue &amp; Growth Intelligence AI integrates with:</w:t>
      </w:r>
    </w:p>
    <w:p>
      <w:pPr>
        <w:spacing w:after="100" w:line="300" w:lineRule="auto"/>
        <w:ind w:left="500" w:hanging="260"/>
      </w:pPr>
      <w:r>
        <w:rPr>
          <w:b/>
          <w:color w:val="37474F"/>
        </w:rPr>
        <w:t xml:space="preserve">•  </w:t>
      </w:r>
      <w:r>
        <w:t>CRM</w:t>
      </w:r>
    </w:p>
    <w:p>
      <w:pPr>
        <w:spacing w:after="100" w:line="300" w:lineRule="auto"/>
        <w:ind w:left="500" w:hanging="260"/>
      </w:pPr>
      <w:r>
        <w:rPr>
          <w:b/>
          <w:color w:val="37474F"/>
        </w:rPr>
        <w:t xml:space="preserve">•  </w:t>
      </w:r>
      <w:r>
        <w:t>Estimation</w:t>
      </w:r>
    </w:p>
    <w:p>
      <w:pPr>
        <w:spacing w:after="100" w:line="300" w:lineRule="auto"/>
        <w:ind w:left="500" w:hanging="260"/>
      </w:pPr>
      <w:r>
        <w:rPr>
          <w:b/>
          <w:color w:val="37474F"/>
        </w:rPr>
        <w:t xml:space="preserve">•  </w:t>
      </w:r>
      <w:r>
        <w:t>Quotation</w:t>
      </w:r>
    </w:p>
    <w:p>
      <w:pPr>
        <w:spacing w:after="100" w:line="300" w:lineRule="auto"/>
        <w:ind w:left="500" w:hanging="260"/>
      </w:pPr>
      <w:r>
        <w:rPr>
          <w:b/>
          <w:color w:val="37474F"/>
        </w:rPr>
        <w:t xml:space="preserve">•  </w:t>
      </w:r>
      <w:r>
        <w:t>Project Management</w:t>
      </w:r>
    </w:p>
    <w:p>
      <w:pPr>
        <w:spacing w:after="100" w:line="300" w:lineRule="auto"/>
        <w:ind w:left="500" w:hanging="260"/>
      </w:pPr>
      <w:r>
        <w:rPr>
          <w:b/>
          <w:color w:val="37474F"/>
        </w:rPr>
        <w:t xml:space="preserve">•  </w:t>
      </w:r>
      <w:r>
        <w:t>Procurement</w:t>
      </w:r>
    </w:p>
    <w:p>
      <w:pPr>
        <w:spacing w:after="100" w:line="300" w:lineRule="auto"/>
        <w:ind w:left="500" w:hanging="260"/>
      </w:pPr>
      <w:r>
        <w:rPr>
          <w:b/>
          <w:color w:val="37474F"/>
        </w:rPr>
        <w:t xml:space="preserve">•  </w:t>
      </w:r>
      <w:r>
        <w:t>Inventory</w:t>
      </w:r>
    </w:p>
    <w:p>
      <w:pPr>
        <w:spacing w:after="100" w:line="300" w:lineRule="auto"/>
        <w:ind w:left="500" w:hanging="260"/>
      </w:pPr>
      <w:r>
        <w:rPr>
          <w:b/>
          <w:color w:val="37474F"/>
        </w:rPr>
        <w:t xml:space="preserve">•  </w:t>
      </w:r>
      <w:r>
        <w:t>Accounting &amp; Finance</w:t>
      </w:r>
    </w:p>
    <w:p>
      <w:pPr>
        <w:spacing w:after="100" w:line="300" w:lineRule="auto"/>
        <w:ind w:left="500" w:hanging="260"/>
      </w:pPr>
      <w:r>
        <w:rPr>
          <w:b/>
          <w:color w:val="37474F"/>
        </w:rPr>
        <w:t xml:space="preserve">•  </w:t>
      </w:r>
      <w:r>
        <w:t>HR &amp; Payroll</w:t>
      </w:r>
    </w:p>
    <w:p>
      <w:pPr>
        <w:spacing w:after="100" w:line="300" w:lineRule="auto"/>
        <w:ind w:left="500" w:hanging="260"/>
      </w:pPr>
      <w:r>
        <w:rPr>
          <w:b/>
          <w:color w:val="37474F"/>
        </w:rPr>
        <w:t xml:space="preserve">•  </w:t>
      </w:r>
      <w:r>
        <w:t>Executive Dashboard</w:t>
      </w:r>
    </w:p>
    <w:p>
      <w:pPr>
        <w:spacing w:after="100" w:line="300" w:lineRule="auto"/>
        <w:ind w:left="500" w:hanging="260"/>
      </w:pPr>
      <w:r>
        <w:rPr>
          <w:b/>
          <w:color w:val="37474F"/>
        </w:rPr>
        <w:t xml:space="preserve">•  </w:t>
      </w:r>
      <w:r>
        <w:t>Customer Portal</w:t>
      </w:r>
    </w:p>
    <w:p>
      <w:pPr>
        <w:spacing w:after="100" w:line="300" w:lineRule="auto"/>
        <w:ind w:left="500" w:hanging="260"/>
      </w:pPr>
      <w:r>
        <w:rPr>
          <w:b/>
          <w:color w:val="37474F"/>
        </w:rPr>
        <w:t xml:space="preserve">•  </w:t>
      </w:r>
      <w:r>
        <w:t>AI Operating System (ATO)</w:t>
      </w:r>
    </w:p>
    <w:p>
      <w:pPr>
        <w:pStyle w:val="Heading1"/>
      </w:pPr>
      <w:r>
        <w:t>18. Core Design Principles</w:t>
      </w:r>
    </w:p>
    <w:p>
      <w:pPr>
        <w:spacing w:after="100" w:line="300" w:lineRule="auto"/>
        <w:ind w:left="500" w:hanging="260"/>
      </w:pPr>
      <w:r>
        <w:rPr>
          <w:b/>
          <w:color w:val="37474F"/>
        </w:rPr>
        <w:t xml:space="preserve">•  </w:t>
      </w:r>
      <w:r>
        <w:t>Predict before problems occur.</w:t>
      </w:r>
    </w:p>
    <w:p>
      <w:pPr>
        <w:spacing w:after="100" w:line="300" w:lineRule="auto"/>
        <w:ind w:left="500" w:hanging="260"/>
      </w:pPr>
      <w:r>
        <w:rPr>
          <w:b/>
          <w:color w:val="37474F"/>
        </w:rPr>
        <w:t xml:space="preserve">•  </w:t>
      </w:r>
      <w:r>
        <w:t>Recommend actions, not just reports.</w:t>
      </w:r>
    </w:p>
    <w:p>
      <w:pPr>
        <w:spacing w:after="100" w:line="300" w:lineRule="auto"/>
        <w:ind w:left="500" w:hanging="260"/>
      </w:pPr>
      <w:r>
        <w:rPr>
          <w:b/>
          <w:color w:val="37474F"/>
        </w:rPr>
        <w:t xml:space="preserve">•  </w:t>
      </w:r>
      <w:r>
        <w:t>Continuously learn from company experience.</w:t>
      </w:r>
    </w:p>
    <w:p>
      <w:pPr>
        <w:spacing w:after="100" w:line="300" w:lineRule="auto"/>
        <w:ind w:left="500" w:hanging="260"/>
      </w:pPr>
      <w:r>
        <w:rPr>
          <w:b/>
          <w:color w:val="37474F"/>
        </w:rPr>
        <w:t xml:space="preserve">•  </w:t>
      </w:r>
      <w:r>
        <w:t>Detect opportunities inside and outside AA2000.</w:t>
      </w:r>
    </w:p>
    <w:p>
      <w:pPr>
        <w:spacing w:after="100" w:line="300" w:lineRule="auto"/>
        <w:ind w:left="500" w:hanging="260"/>
      </w:pPr>
      <w:r>
        <w:rPr>
          <w:b/>
          <w:color w:val="37474F"/>
        </w:rPr>
        <w:t xml:space="preserve">•  </w:t>
      </w:r>
      <w:r>
        <w:t>Support executives with data-driven decisions.</w:t>
      </w:r>
    </w:p>
    <w:p>
      <w:pPr>
        <w:spacing w:after="100" w:line="300" w:lineRule="auto"/>
        <w:ind w:left="500" w:hanging="260"/>
      </w:pPr>
      <w:r>
        <w:rPr>
          <w:b/>
          <w:color w:val="37474F"/>
        </w:rPr>
        <w:t xml:space="preserve">•  </w:t>
      </w:r>
      <w:r>
        <w:t>Measure business impact for every recommendation.</w:t>
      </w:r>
    </w:p>
    <w:p>
      <w:pPr>
        <w:spacing w:after="100" w:line="300" w:lineRule="auto"/>
        <w:ind w:left="500" w:hanging="260"/>
      </w:pPr>
      <w:r>
        <w:rPr>
          <w:b/>
          <w:color w:val="37474F"/>
        </w:rPr>
        <w:t xml:space="preserve">•  </w:t>
      </w:r>
      <w:r>
        <w:t>Deliver insights in real time.</w:t>
      </w:r>
    </w:p>
    <w:p>
      <w:pPr>
        <w:spacing w:after="100" w:line="300" w:lineRule="auto"/>
        <w:ind w:left="500" w:hanging="260"/>
      </w:pPr>
      <w:r>
        <w:rPr>
          <w:b/>
          <w:color w:val="37474F"/>
        </w:rPr>
        <w:t xml:space="preserve">•  </w:t>
      </w:r>
      <w:r>
        <w:t>Enable sustainable revenue growth through AI.</w:t>
      </w:r>
    </w:p>
    <w:p>
      <w:pPr>
        <w:pStyle w:val="Heading1"/>
      </w:pPr>
      <w:r>
        <w:t>19. Version Notes</w:t>
      </w:r>
    </w:p>
    <w:p>
      <w:pPr>
        <w:spacing w:after="200" w:line="312" w:lineRule="auto"/>
      </w:pPr>
      <w:r>
        <w:rPr>
          <w:b/>
          <w:color w:val="37474F"/>
        </w:rPr>
        <w:t xml:space="preserve">Version 1.0 — </w:t>
      </w:r>
      <w:r>
        <w:t>original module draft — vision, mission, intelligence scope, opportunity engine, predictions, recommendations, briefing, alerts, learning engine, integration, design principles.</w:t>
      </w:r>
    </w:p>
    <w:p>
      <w:pPr>
        <w:spacing w:after="200" w:line="312" w:lineRule="auto"/>
      </w:pPr>
      <w:r>
        <w:rPr>
          <w:b/>
          <w:color w:val="37474F"/>
        </w:rPr>
        <w:t xml:space="preserve">Version 1.1 (this document) — </w:t>
      </w:r>
      <w:r>
        <w:t>consultant-audit revisions integrated:</w:t>
      </w:r>
    </w:p>
    <w:p>
      <w:pPr>
        <w:spacing w:after="100" w:line="300" w:lineRule="auto"/>
        <w:ind w:left="500" w:hanging="260"/>
      </w:pPr>
      <w:r>
        <w:rPr>
          <w:b/>
          <w:color w:val="37474F"/>
        </w:rPr>
        <w:t xml:space="preserve">•  </w:t>
      </w:r>
      <w:r>
        <w:t>Added Section 2 — architecture position and dependency rule (RGI-AI activates after operational modules).</w:t>
      </w:r>
    </w:p>
    <w:p>
      <w:pPr>
        <w:spacing w:after="100" w:line="300" w:lineRule="auto"/>
        <w:ind w:left="500" w:hanging="260"/>
      </w:pPr>
      <w:r>
        <w:rPr>
          <w:b/>
          <w:color w:val="37474F"/>
        </w:rPr>
        <w:t xml:space="preserve">•  </w:t>
      </w:r>
      <w:r>
        <w:t>Added Section 12 — data quality controls and source-of-truth ownership.</w:t>
      </w:r>
    </w:p>
    <w:p>
      <w:pPr>
        <w:spacing w:after="100" w:line="300" w:lineRule="auto"/>
        <w:ind w:left="500" w:hanging="260"/>
      </w:pPr>
      <w:r>
        <w:rPr>
          <w:b/>
          <w:color w:val="37474F"/>
        </w:rPr>
        <w:t xml:space="preserve">•  </w:t>
      </w:r>
      <w:r>
        <w:t>Section 7 — predictive intelligence split into phases with minimum data requirements.</w:t>
      </w:r>
    </w:p>
    <w:p>
      <w:pPr>
        <w:spacing w:after="100" w:line="300" w:lineRule="auto"/>
        <w:ind w:left="500" w:hanging="260"/>
      </w:pPr>
      <w:r>
        <w:rPr>
          <w:b/>
          <w:color w:val="37474F"/>
        </w:rPr>
        <w:t xml:space="preserve">•  </w:t>
      </w:r>
      <w:r>
        <w:t>Section 10 — alert thresholds and escalation matrix added to prevent alert fatigue.</w:t>
      </w:r>
    </w:p>
    <w:p>
      <w:pPr>
        <w:spacing w:after="100" w:line="300" w:lineRule="auto"/>
        <w:ind w:left="500" w:hanging="260"/>
      </w:pPr>
      <w:r>
        <w:rPr>
          <w:b/>
          <w:color w:val="37474F"/>
        </w:rPr>
        <w:t xml:space="preserve">•  </w:t>
      </w:r>
      <w:r>
        <w:t>Added Section 13 — human-in-the-loop governance with decision logging and reason codes.</w:t>
      </w:r>
    </w:p>
    <w:p>
      <w:pPr>
        <w:spacing w:after="100" w:line="300" w:lineRule="auto"/>
        <w:ind w:left="500" w:hanging="260"/>
      </w:pPr>
      <w:r>
        <w:rPr>
          <w:b/>
          <w:color w:val="37474F"/>
        </w:rPr>
        <w:t xml:space="preserve">•  </w:t>
      </w:r>
      <w:r>
        <w:t>Added Section 14 — role-based access control.</w:t>
      </w:r>
    </w:p>
    <w:p>
      <w:pPr>
        <w:spacing w:after="100" w:line="300" w:lineRule="auto"/>
        <w:ind w:left="500" w:hanging="260"/>
      </w:pPr>
      <w:r>
        <w:rPr>
          <w:b/>
          <w:color w:val="37474F"/>
        </w:rPr>
        <w:t xml:space="preserve">•  </w:t>
      </w:r>
      <w:r>
        <w:t>Added Section 15 — success metrics for the module itself.</w:t>
      </w:r>
    </w:p>
    <w:p>
      <w:pPr>
        <w:spacing w:after="100" w:line="300" w:lineRule="auto"/>
        <w:ind w:left="500" w:hanging="260"/>
      </w:pPr>
      <w:r>
        <w:rPr>
          <w:b/>
          <w:color w:val="37474F"/>
        </w:rPr>
        <w:t xml:space="preserve">•  </w:t>
      </w:r>
      <w:r>
        <w:t>Added Section 16 — Minimum Viable RGI-AI and three-phase rollout.</w:t>
      </w:r>
    </w:p>
    <w:p>
      <w:pPr>
        <w:sectPr>
          <w:headerReference w:type="default" r:id="Ra2fa3c41b2144ea4"/>
          <w:footerReference w:type="default" r:id="R608f58ddf937492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33adb536b8a145b6"/>
                    <a:stretch>
                      <a:fillRect/>
                    </a:stretch>
                  </pic:blipFill>
                  <pic:spPr>
                    <a:xfrm>
                      <a:off x="0" y="0"/>
                      <a:ext cx="7560000" cy="10692000"/>
                    </a:xfrm>
                    <a:prstGeom prst="rect"/>
                  </pic:spPr>
                </pic:pic>
              </a:graphicData>
            </a:graphic>
          </wp:anchor>
        </w:drawing>
      </w:r>
    </w:p>
    <w:p>
      <w:pPr>
        <w:spacing w:before="6800"/>
        <w:jc w:val="center"/>
      </w:pPr>
      <w:r>
        <w:rPr>
          <w:b/>
          <w:color w:val="37474F"/>
          <w:sz w:val="40"/>
        </w:rPr>
        <w:t>DOS Business OS</w:t>
      </w:r>
    </w:p>
    <w:p>
      <w:pPr>
        <w:spacing w:before="300"/>
        <w:jc w:val="center"/>
      </w:pPr>
      <w:r>
        <w:rPr>
          <w:color w:val="546E7A"/>
          <w:sz w:val="20"/>
        </w:rPr>
        <w:t>Revenue &amp; Growth Intelligence AI — Module Blueprint v1.1</w:t>
      </w:r>
    </w:p>
    <w:p>
      <w:pPr>
        <w:spacing w:before="200"/>
        <w:jc w:val="center"/>
      </w:pPr>
      <w:r>
        <w:rPr>
          <w:color w:val="78909C"/>
          <w:sz w:val="16"/>
        </w:rPr>
        <w:t>AA2000 Security and Technology Solutions Inc.  ·  Internal Document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cb5d496bb5aa4a90"/>
                  <a:stretch>
                    <a:fillRect/>
                  </a:stretch>
                </pic:blipFill>
                <pic:spPr>
                  <a:xfrm>
                    <a:off x="0" y="0"/>
                    <a:ext cx="7560000" cy="10692000"/>
                  </a:xfrm>
                  <a:prstGeom prst="rect"/>
                </pic:spPr>
              </pic:pic>
            </a:graphicData>
          </a:graphic>
        </wp:anchor>
      </w:drawing>
    </w:r>
  </w:p>
  <w:p>
    <w:pPr>
      <w:jc w:val="right"/>
    </w:pPr>
    <w:r>
      <w:rPr>
        <w:color w:val="78909C"/>
        <w:sz w:val="18"/>
      </w:rPr>
      <w:t>DOS Business OS  ·  RGI-AI Module Blueprint v1.1</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63238"/>
      <w:sz w:val="21"/>
    </w:rPr>
  </w:style>
  <w:style w:type="paragraph" w:styleId="Heading1">
    <w:name w:val="heading 1"/>
    <w:basedOn w:val="Normal"/>
    <w:pPr>
      <w:keepNext/>
      <w:keepLines/>
      <w:spacing w:before="560" w:after="220"/>
      <w:outlineLvl w:val="0"/>
    </w:pPr>
    <w:rPr>
      <w:rFonts w:ascii="Calibri" w:hAnsi="Calibri" w:eastAsia="Microsoft YaHei"/>
      <w:b/>
      <w:color w:val="37474F"/>
      <w:sz w:val="32"/>
    </w:rPr>
  </w:style>
  <w:style w:type="paragraph" w:styleId="Heading2">
    <w:name w:val="heading 2"/>
    <w:basedOn w:val="Normal"/>
    <w:pPr>
      <w:keepNext/>
      <w:keepLines/>
      <w:spacing w:before="360" w:after="140"/>
      <w:outlineLvl w:val="1"/>
    </w:pPr>
    <w:rPr>
      <w:rFonts w:ascii="Calibri" w:hAnsi="Calibri" w:eastAsia="Microsoft YaHei"/>
      <w:b/>
      <w:color w:val="546E7A"/>
      <w:sz w:val="26"/>
    </w:rPr>
  </w:style>
  <w:style w:type="paragraph" w:styleId="Heading3">
    <w:name w:val="heading 3"/>
    <w:basedOn w:val="Normal"/>
    <w:pPr>
      <w:keepNext/>
      <w:keepLines/>
      <w:spacing w:before="240" w:after="100"/>
      <w:outlineLvl w:val="2"/>
    </w:pPr>
    <w:rPr>
      <w:rFonts w:ascii="Calibri" w:hAnsi="Calibri" w:eastAsia="Microsoft YaHei"/>
      <w:b/>
      <w:color w:val="546E7A"/>
      <w:sz w:val="23"/>
    </w:rPr>
  </w:style>
  <w:style w:type="paragraph" w:styleId="Caption">
    <w:name w:val="Caption"/>
    <w:basedOn w:val="Normal"/>
    <w:pPr>
      <w:spacing w:before="60" w:after="320"/>
      <w:jc w:val="center"/>
    </w:pPr>
    <w:rPr>
      <w:color w:val="78909C"/>
      <w:sz w:val="19"/>
    </w:rPr>
  </w:style>
  <w:style w:type="paragraph" w:styleId="TOC1">
    <w:name w:val="toc 1"/>
    <w:basedOn w:val="Normal"/>
    <w:pPr>
      <w:tabs>
        <w:tab w:val="right" w:leader="dot" w:pos="9350"/>
      </w:tabs>
      <w:spacing w:before="180" w:after="60"/>
      <w:ind w:left="0"/>
    </w:pPr>
    <w:rPr>
      <w:b/>
      <w:color w:val="263238"/>
    </w:rPr>
  </w:style>
  <w:style w:type="paragraph" w:styleId="TOC2">
    <w:name w:val="toc 2"/>
    <w:basedOn w:val="Normal"/>
    <w:pPr>
      <w:tabs>
        <w:tab w:val="right" w:leader="dot" w:pos="9350"/>
      </w:tabs>
      <w:spacing w:before="40" w:after="60"/>
      <w:ind w:left="420"/>
    </w:pPr>
    <w:rPr>
      <w:color w:val="546E7A"/>
    </w:rPr>
  </w:style>
</w:styles>
</file>

<file path=word/_rels/document.xml.rels><?xml version='1.0' encoding='UTF-8'?>
<Relationships xmlns="http://schemas.openxmlformats.org/package/2006/relationships"><Relationship Type="http://schemas.openxmlformats.org/officeDocument/2006/relationships/styles" Target="styles.xml" Id="Rd96a7508af3e45db" /><Relationship Type="http://schemas.openxmlformats.org/officeDocument/2006/relationships/image" Target="media/image.png" Id="R0d40544c85544092" /><Relationship Type="http://schemas.openxmlformats.org/officeDocument/2006/relationships/image" Target="media/image2.png" Id="R33adb536b8a145b6" /><Relationship Type="http://schemas.openxmlformats.org/officeDocument/2006/relationships/header" Target="header1.xml" Id="Ra2fa3c41b2144ea4" /><Relationship Type="http://schemas.openxmlformats.org/officeDocument/2006/relationships/footer" Target="footer1.xml" Id="R608f58ddf937492a" /><Relationship Type="http://schemas.openxmlformats.org/officeDocument/2006/relationships/settings" Target="settings.xml" Id="R36ab716e17c24aa1" /></Relationships>
</file>

<file path=word/_rels/header1.xml.rels><?xml version='1.0' encoding='UTF-8'?>
<Relationships xmlns="http://schemas.openxmlformats.org/package/2006/relationships"><Relationship Type="http://schemas.openxmlformats.org/officeDocument/2006/relationships/image" Target="media/image3.png" Id="Rcb5d496bb5aa4a90" /></Relationships>
</file>