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7ca2493cf71f43d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82dc57c10db4d04"/>
                    <a:stretch>
                      <a:fillRect/>
                    </a:stretch>
                  </pic:blipFill>
                  <pic:spPr>
                    <a:xfrm>
                      <a:off x="0" y="0"/>
                      <a:ext cx="7560000" cy="10692000"/>
                    </a:xfrm>
                    <a:prstGeom prst="rect"/>
                  </pic:spPr>
                </pic:pic>
              </a:graphicData>
            </a:graphic>
          </wp:anchor>
        </w:drawing>
      </w:r>
    </w:p>
    <w:p>
      <w:pPr>
        <w:spacing w:before="7950" w:after="0"/>
        <w:jc w:val="center"/>
      </w:pPr>
      <w:r>
        <w:rPr>
          <w:b/>
          <w:color w:val="C9A227"/>
          <w:spacing w:val="60"/>
          <w:sz w:val="21"/>
        </w:rPr>
        <w:t xml:space="preserve">AA2000 SECURITY AND TECHNOLOGY SOLUTIONS</w:t>
      </w:r>
    </w:p>
    <w:p>
      <w:pPr>
        <w:spacing w:before="700" w:after="0"/>
        <w:jc w:val="center"/>
      </w:pPr>
      <w:r>
        <w:rPr>
          <w:b/>
          <w:color w:val="FFFFFF"/>
          <w:spacing w:val="30"/>
          <w:sz w:val="96"/>
        </w:rPr>
        <w:t xml:space="preserve">DOS BUSINESS OS</w:t>
      </w:r>
    </w:p>
    <w:p>
      <w:pPr>
        <w:spacing w:before="420" w:after="0"/>
        <w:jc w:val="center"/>
      </w:pPr>
      <w:r>
        <w:rPr>
          <w:color w:val="D4AF5A"/>
          <w:spacing w:val="90"/>
          <w:sz w:val="34"/>
        </w:rPr>
        <w:t xml:space="preserve">GOVERNANCE FRAMEWORK</w:t>
      </w:r>
    </w:p>
    <w:p>
      <w:pPr>
        <w:spacing w:before="560" w:after="0"/>
        <w:jc w:val="center"/>
      </w:pPr>
      <w:r>
        <w:rPr>
          <w:color w:val="90A4AE"/>
          <w:sz w:val="22"/>
        </w:rPr>
        <w:t xml:space="preserve">Version 1.0  ·  Frozen Baseline</w:t>
      </w:r>
    </w:p>
    <w:p>
      <w:pPr>
        <w:spacing w:before="2650" w:after="0"/>
        <w:jc w:val="center"/>
      </w:pPr>
      <w:r>
        <w:rPr>
          <w:color w:val="78909C"/>
          <w:sz w:val="19"/>
        </w:rPr>
        <w:t xml:space="preserve">July 2026   |   Internal &amp; Confidential</w:t>
      </w:r>
    </w:p>
    <w:p>
      <w:pPr>
        <w:sectPr>
          <w:type w:val="nextPage"/>
          <w:pgSz w:w="11906" w:h="16838"/>
          <w:pgMar w:top="0" w:right="0" w:bottom="0" w:left="0" w:header="0" w:footer="0"/>
          <w:titlePg/>
        </w:sectPr>
      </w:pPr>
    </w:p>
    <w:p>
      <w:pPr>
        <w:pStyle w:val="Heading1"/>
      </w:pPr>
      <w:r>
        <w:t>Document Control</w:t>
      </w:r>
      <w:bookmarkStart w:name="_Toc0001" w:id="1"/>
      <w:bookmarkEnd w:id="1"/>
    </w:p>
    <w:p>
      <w:r>
        <w:rPr>
          <w:b/>
          <w:color w:val="37474F"/>
        </w:rPr>
        <w:t xml:space="preserve">Classification:  </w:t>
      </w:r>
      <w:r>
        <w:t xml:space="preserve">Internal &amp; Confidential — AA2000 Security and Technology Solutions</w:t>
      </w:r>
    </w:p>
    <w:p>
      <w:r>
        <w:rPr>
          <w:b/>
          <w:color w:val="37474F"/>
        </w:rPr>
        <w:t xml:space="preserve">Document:  </w:t>
      </w:r>
      <w:r>
        <w:t xml:space="preserve">DOS Business OS — Governance Framework</w:t>
      </w:r>
    </w:p>
    <w:p>
      <w:r>
        <w:rPr>
          <w:b/>
          <w:color w:val="37474F"/>
        </w:rPr>
        <w:t xml:space="preserve">Status:  </w:t>
      </w:r>
      <w:r>
        <w:t xml:space="preserve">Version 1.0 — Frozen Baseline. Modifications follow the Proposed Change workflow (Section 9). New ideas are logged in the v1.1 Backlog (Section 14).</w:t>
      </w:r>
    </w:p>
    <w:p>
      <w:pPr>
        <w:pStyle w:val="Heading3"/>
      </w:pPr>
      <w:r>
        <w:t>Version History</w:t>
      </w:r>
    </w:p>
    <w:tbl>
      <w:tblPr>
        <w:tblW w:w="5000" w:type="pct"/>
        <w:tblBorders>
          <w:top w:val="single" w:color="263238" w:sz="10"/>
          <w:left w:val="nil"/>
          <w:bottom w:val="single" w:color="263238" w:sz="10"/>
          <w:right w:val="nil"/>
          <w:insideH w:val="single" w:color="D8D2C4" w:sz="4"/>
          <w:insideV w:val="nil"/>
        </w:tblBorders>
      </w:tblPr>
      <w:tblGrid>
        <w:gridCol w:w="900"/>
        <w:gridCol w:w="1500"/>
        <w:gridCol w:w="3200"/>
        <w:gridCol w:w="1900"/>
        <w:gridCol w:w="1900"/>
      </w:tblGrid>
      <w:tr>
        <w:trPr>
          <w:tblHeader/>
        </w:trPr>
        <w:tc>
          <w:tcPr>
            <w:tcW w:w="900" w:type="dxa"/>
            <w:shd w:val="clear" w:fill="F2EFE7"/>
          </w:tcPr>
          <w:p>
            <w:pPr>
              <w:spacing w:before="50" w:after="50"/>
            </w:pPr>
            <w:r>
              <w:rPr>
                <w:b/>
                <w:color w:val="263238"/>
                <w:sz w:val="19"/>
              </w:rPr>
              <w:t xml:space="preserve">Version</w:t>
            </w:r>
          </w:p>
        </w:tc>
        <w:tc>
          <w:tcPr>
            <w:tcW w:w="1500" w:type="dxa"/>
            <w:shd w:val="clear" w:fill="F2EFE7"/>
          </w:tcPr>
          <w:p>
            <w:pPr>
              <w:spacing w:before="50" w:after="50"/>
            </w:pPr>
            <w:r>
              <w:rPr>
                <w:b/>
                <w:color w:val="263238"/>
                <w:sz w:val="19"/>
              </w:rPr>
              <w:t xml:space="preserve">Date</w:t>
            </w:r>
          </w:p>
        </w:tc>
        <w:tc>
          <w:tcPr>
            <w:tcW w:w="3200" w:type="dxa"/>
            <w:shd w:val="clear" w:fill="F2EFE7"/>
          </w:tcPr>
          <w:p>
            <w:pPr>
              <w:spacing w:before="50" w:after="50"/>
            </w:pPr>
            <w:r>
              <w:rPr>
                <w:b/>
                <w:color w:val="263238"/>
                <w:sz w:val="19"/>
              </w:rPr>
              <w:t xml:space="preserve">Description</w:t>
            </w:r>
          </w:p>
        </w:tc>
        <w:tc>
          <w:tcPr>
            <w:tcW w:w="1900" w:type="dxa"/>
            <w:shd w:val="clear" w:fill="F2EFE7"/>
          </w:tcPr>
          <w:p>
            <w:pPr>
              <w:spacing w:before="50" w:after="50"/>
            </w:pPr>
            <w:r>
              <w:rPr>
                <w:b/>
                <w:color w:val="263238"/>
                <w:sz w:val="19"/>
              </w:rPr>
              <w:t xml:space="preserve">Prepared by</w:t>
            </w:r>
          </w:p>
        </w:tc>
        <w:tc>
          <w:tcPr>
            <w:tcW w:w="1900" w:type="dxa"/>
            <w:shd w:val="clear" w:fill="F2EFE7"/>
          </w:tcPr>
          <w:p>
            <w:pPr>
              <w:spacing w:before="50" w:after="50"/>
            </w:pPr>
            <w:r>
              <w:rPr>
                <w:b/>
                <w:color w:val="263238"/>
                <w:sz w:val="19"/>
              </w:rPr>
              <w:t xml:space="preserve">Approved by</w:t>
            </w:r>
          </w:p>
        </w:tc>
      </w:tr>
      <w:tr>
        <w:tc>
          <w:tcPr>
            <w:tcW w:w="900" w:type="dxa"/>
          </w:tcPr>
          <w:p>
            <w:pPr>
              <w:spacing w:before="50" w:after="50"/>
            </w:pPr>
            <w:r>
              <w:rPr>
                <w:color w:val="546E7A"/>
                <w:sz w:val="19"/>
              </w:rPr>
              <w:t xml:space="preserve">1.0</w:t>
            </w:r>
          </w:p>
        </w:tc>
        <w:tc>
          <w:tcPr>
            <w:tcW w:w="1500" w:type="dxa"/>
          </w:tcPr>
          <w:p>
            <w:pPr>
              <w:spacing w:before="50" w:after="50"/>
            </w:pPr>
            <w:r>
              <w:rPr>
                <w:color w:val="546E7A"/>
                <w:sz w:val="19"/>
              </w:rPr>
              <w:t xml:space="preserve">July 17, 2026</w:t>
            </w:r>
          </w:p>
        </w:tc>
        <w:tc>
          <w:tcPr>
            <w:tcW w:w="3200" w:type="dxa"/>
          </w:tcPr>
          <w:p>
            <w:pPr>
              <w:spacing w:before="50" w:after="50"/>
            </w:pPr>
            <w:r>
              <w:rPr>
                <w:color w:val="546E7A"/>
                <w:sz w:val="19"/>
              </w:rPr>
              <w:t xml:space="preserve">Initial frozen baseline — design phase closed</w:t>
            </w:r>
          </w:p>
        </w:tc>
        <w:tc>
          <w:tcPr>
            <w:tcW w:w="1900" w:type="dxa"/>
          </w:tcPr>
          <w:p>
            <w:pPr>
              <w:spacing w:before="50" w:after="50"/>
            </w:pPr>
            <w:r>
              <w:rPr>
                <w:color w:val="546E7A"/>
                <w:sz w:val="19"/>
              </w:rPr>
              <w:t xml:space="preserve">Partner AI Consultant, for AA2000</w:t>
            </w:r>
          </w:p>
        </w:tc>
        <w:tc>
          <w:tcPr>
            <w:tcW w:w="1900" w:type="dxa"/>
          </w:tcPr>
          <w:p>
            <w:pPr>
              <w:spacing w:before="50" w:after="50"/>
            </w:pPr>
            <w:r>
              <w:rPr>
                <w:color w:val="546E7A"/>
                <w:sz w:val="19"/>
              </w:rPr>
              <w:t xml:space="preserve">Allan Roy Aparis, Director</w:t>
            </w:r>
          </w:p>
        </w:tc>
      </w:tr>
    </w:tbl>
    <w:p>
      <w:pPr>
        <w:spacing w:after="120"/>
      </w:pPr>
    </w:p>
    <w:p>
      <w:pPr>
        <w:pStyle w:val="Heading3"/>
      </w:pPr>
      <w:r>
        <w:t>Distribution</w:t>
      </w:r>
    </w:p>
    <w:tbl>
      <w:tblPr>
        <w:tblW w:w="5000" w:type="pct"/>
        <w:tblBorders>
          <w:top w:val="single" w:color="263238" w:sz="10"/>
          <w:left w:val="nil"/>
          <w:bottom w:val="single" w:color="263238" w:sz="10"/>
          <w:right w:val="nil"/>
          <w:insideH w:val="single" w:color="D8D2C4" w:sz="4"/>
          <w:insideV w:val="nil"/>
        </w:tblBorders>
      </w:tblPr>
      <w:tblGrid>
        <w:gridCol w:w="3700"/>
        <w:gridCol w:w="5700"/>
      </w:tblGrid>
      <w:tr>
        <w:trPr>
          <w:tblHeader/>
        </w:trPr>
        <w:tc>
          <w:tcPr>
            <w:tcW w:w="3700" w:type="dxa"/>
            <w:shd w:val="clear" w:fill="F2EFE7"/>
          </w:tcPr>
          <w:p>
            <w:pPr>
              <w:spacing w:before="50" w:after="50"/>
            </w:pPr>
            <w:r>
              <w:rPr>
                <w:b/>
                <w:color w:val="263238"/>
                <w:sz w:val="19"/>
              </w:rPr>
              <w:t xml:space="preserve">Audience</w:t>
            </w:r>
          </w:p>
        </w:tc>
        <w:tc>
          <w:tcPr>
            <w:tcW w:w="5700" w:type="dxa"/>
            <w:shd w:val="clear" w:fill="F2EFE7"/>
          </w:tcPr>
          <w:p>
            <w:pPr>
              <w:spacing w:before="50" w:after="50"/>
            </w:pPr>
            <w:r>
              <w:rPr>
                <w:b/>
                <w:color w:val="263238"/>
                <w:sz w:val="19"/>
              </w:rPr>
              <w:t xml:space="preserve">Purpose</w:t>
            </w:r>
          </w:p>
        </w:tc>
      </w:tr>
      <w:tr>
        <w:tc>
          <w:tcPr>
            <w:tcW w:w="3700" w:type="dxa"/>
          </w:tcPr>
          <w:p>
            <w:pPr>
              <w:spacing w:before="50" w:after="50"/>
            </w:pPr>
            <w:r>
              <w:rPr>
                <w:color w:val="546E7A"/>
                <w:sz w:val="19"/>
              </w:rPr>
              <w:t xml:space="preserve">Directors (A. Aparis, C. Dy, P. Algabre)</w:t>
            </w:r>
          </w:p>
        </w:tc>
        <w:tc>
          <w:tcPr>
            <w:tcW w:w="5700" w:type="dxa"/>
          </w:tcPr>
          <w:p>
            <w:pPr>
              <w:spacing w:before="50" w:after="50"/>
            </w:pPr>
            <w:r>
              <w:rPr>
                <w:color w:val="546E7A"/>
                <w:sz w:val="19"/>
              </w:rPr>
              <w:t xml:space="preserve">Decision governance, approvals, compliance oversight</w:t>
            </w:r>
          </w:p>
        </w:tc>
      </w:tr>
      <w:tr>
        <w:tc>
          <w:tcPr>
            <w:tcW w:w="3700" w:type="dxa"/>
          </w:tcPr>
          <w:p>
            <w:pPr>
              <w:spacing w:before="50" w:after="50"/>
            </w:pPr>
            <w:r>
              <w:rPr>
                <w:color w:val="546E7A"/>
                <w:sz w:val="19"/>
              </w:rPr>
              <w:t xml:space="preserve">IT Team</w:t>
            </w:r>
          </w:p>
        </w:tc>
        <w:tc>
          <w:tcPr>
            <w:tcW w:w="5700" w:type="dxa"/>
          </w:tcPr>
          <w:p>
            <w:pPr>
              <w:spacing w:before="50" w:after="50"/>
            </w:pPr>
            <w:r>
              <w:rPr>
                <w:color w:val="546E7A"/>
                <w:sz w:val="19"/>
              </w:rPr>
              <w:t xml:space="preserve">Security layers, AIITOC operations, backup &amp; disaster recovery</w:t>
            </w:r>
          </w:p>
        </w:tc>
      </w:tr>
      <w:tr>
        <w:tc>
          <w:tcPr>
            <w:tcW w:w="3700" w:type="dxa"/>
          </w:tcPr>
          <w:p>
            <w:pPr>
              <w:spacing w:before="50" w:after="50"/>
            </w:pPr>
            <w:r>
              <w:rPr>
                <w:color w:val="546E7A"/>
                <w:sz w:val="19"/>
              </w:rPr>
              <w:t xml:space="preserve">Development Team (incl. OJT developers)</w:t>
            </w:r>
          </w:p>
        </w:tc>
        <w:tc>
          <w:tcPr>
            <w:tcW w:w="5700" w:type="dxa"/>
          </w:tcPr>
          <w:p>
            <w:pPr>
              <w:spacing w:before="50" w:after="50"/>
            </w:pPr>
            <w:r>
              <w:rPr>
                <w:color w:val="546E7A"/>
                <w:sz w:val="19"/>
              </w:rPr>
              <w:t xml:space="preserve">Feature cards, Definition of Ready, Done Means Done, RTM</w:t>
            </w:r>
          </w:p>
        </w:tc>
      </w:tr>
      <w:tr>
        <w:tc>
          <w:tcPr>
            <w:tcW w:w="3700" w:type="dxa"/>
          </w:tcPr>
          <w:p>
            <w:pPr>
              <w:spacing w:before="50" w:after="50"/>
            </w:pPr>
            <w:r>
              <w:rPr>
                <w:color w:val="546E7A"/>
                <w:sz w:val="19"/>
              </w:rPr>
              <w:t xml:space="preserve">AI Agents (via Shared Business Memory)</w:t>
            </w:r>
          </w:p>
        </w:tc>
        <w:tc>
          <w:tcPr>
            <w:tcW w:w="5700" w:type="dxa"/>
          </w:tcPr>
          <w:p>
            <w:pPr>
              <w:spacing w:before="50" w:after="50"/>
            </w:pPr>
            <w:r>
              <w:rPr>
                <w:color w:val="546E7A"/>
                <w:sz w:val="19"/>
              </w:rPr>
              <w:t xml:space="preserve">Machine-readable source of business rules and governance</w:t>
            </w:r>
          </w:p>
        </w:tc>
      </w:tr>
    </w:tbl>
    <w:p>
      <w:pPr>
        <w:spacing w:after="120"/>
      </w:pPr>
    </w:p>
    <w:p>
      <w:pPr>
        <w:pageBreakBefore/>
        <w:spacing w:before="0" w:after="300"/>
      </w:pPr>
      <w:r>
        <w:rPr>
          <w:b/>
          <w:color w:val="263238"/>
          <w:sz w:val="36"/>
        </w:rPr>
        <w:t>Table of Contents</w:t>
      </w:r>
    </w:p>
    <w:p>
      <w:pPr>
        <w:spacing w:after="300"/>
      </w:pPr>
      <w:r>
        <w:rPr>
          <w:color w:val="78909C"/>
          <w:sz w:val="18"/>
        </w:rPr>
        <w:t>Right-click the table and choose “Update Field” to refresh page numbers.</w:t>
      </w:r>
    </w:p>
    <w:p>
      <w:r>
        <w:fldChar w:fldCharType="begin"/>
      </w:r>
      <w:r>
        <w:instrText xml:space="preserve"> TOC \o "1-2" \h \z \u </w:instrText>
      </w:r>
      <w:r>
        <w:fldChar w:fldCharType="separate"/>
      </w:r>
    </w:p>
    <w:p>
      <w:pPr>
        <w:pStyle w:val="TOC1"/>
      </w:pPr>
      <w:r>
        <w:t>Document Control</w:t>
      </w:r>
      <w:r>
        <w:tab/>
      </w:r>
      <w:r>
        <w:t>—</w:t>
      </w:r>
    </w:p>
    <w:p>
      <w:pPr>
        <w:pStyle w:val="TOC1"/>
      </w:pPr>
      <w:r>
        <w:t>1. The Three Pillars</w:t>
      </w:r>
      <w:r>
        <w:tab/>
      </w:r>
      <w:r>
        <w:t>—</w:t>
      </w:r>
    </w:p>
    <w:p>
      <w:pPr>
        <w:pStyle w:val="TOC1"/>
      </w:pPr>
      <w:r>
        <w:t>2. Purpose, Scope &amp; Document Status</w:t>
      </w:r>
      <w:r>
        <w:tab/>
      </w:r>
      <w:r>
        <w:t>—</w:t>
      </w:r>
    </w:p>
    <w:p>
      <w:pPr>
        <w:pStyle w:val="TOC1"/>
      </w:pPr>
      <w:r>
        <w:t>3. System Architecture Overview</w:t>
      </w:r>
      <w:r>
        <w:tab/>
      </w:r>
      <w:r>
        <w:t>—</w:t>
      </w:r>
    </w:p>
    <w:p>
      <w:pPr>
        <w:pStyle w:val="TOC2"/>
      </w:pPr>
      <w:r>
        <w:t>3.1 Hub-and-Spoke Orchestration (ATO)</w:t>
      </w:r>
      <w:r>
        <w:tab/>
      </w:r>
      <w:r>
        <w:t>—</w:t>
      </w:r>
    </w:p>
    <w:p>
      <w:pPr>
        <w:pStyle w:val="TOC2"/>
      </w:pPr>
      <w:r>
        <w:t>3.2 Shared Business Memory</w:t>
      </w:r>
      <w:r>
        <w:tab/>
      </w:r>
      <w:r>
        <w:t>—</w:t>
      </w:r>
    </w:p>
    <w:p>
      <w:pPr>
        <w:pStyle w:val="TOC2"/>
      </w:pPr>
      <w:r>
        <w:t>3.3 Core Modules &amp; Human Ownership</w:t>
      </w:r>
      <w:r>
        <w:tab/>
      </w:r>
      <w:r>
        <w:t>—</w:t>
      </w:r>
    </w:p>
    <w:p>
      <w:pPr>
        <w:pStyle w:val="TOC1"/>
      </w:pPr>
      <w:r>
        <w:t>4. AI Employee Assistant &amp; Role-Based Access</w:t>
      </w:r>
      <w:r>
        <w:tab/>
      </w:r>
      <w:r>
        <w:t>—</w:t>
      </w:r>
    </w:p>
    <w:p>
      <w:pPr>
        <w:pStyle w:val="TOC2"/>
      </w:pPr>
      <w:r>
        <w:t>4.1 Capabilities</w:t>
      </w:r>
      <w:r>
        <w:tab/>
      </w:r>
      <w:r>
        <w:t>—</w:t>
      </w:r>
    </w:p>
    <w:p>
      <w:pPr>
        <w:pStyle w:val="TOC2"/>
      </w:pPr>
      <w:r>
        <w:t>4.2 The Permission Inheritance Rule</w:t>
      </w:r>
      <w:r>
        <w:tab/>
      </w:r>
      <w:r>
        <w:t>—</w:t>
      </w:r>
    </w:p>
    <w:p>
      <w:pPr>
        <w:pStyle w:val="TOC2"/>
      </w:pPr>
      <w:r>
        <w:t>4.3 Delivery Phasing</w:t>
      </w:r>
      <w:r>
        <w:tab/>
      </w:r>
      <w:r>
        <w:t>—</w:t>
      </w:r>
    </w:p>
    <w:p>
      <w:pPr>
        <w:pStyle w:val="TOC1"/>
      </w:pPr>
      <w:r>
        <w:t>5. Two-Layer Security Model</w:t>
      </w:r>
      <w:r>
        <w:tab/>
      </w:r>
      <w:r>
        <w:t>—</w:t>
      </w:r>
    </w:p>
    <w:p>
      <w:pPr>
        <w:pStyle w:val="TOC2"/>
      </w:pPr>
      <w:r>
        <w:t>5.1 Layer 1 — Cybersecurity Tools</w:t>
      </w:r>
      <w:r>
        <w:tab/>
      </w:r>
      <w:r>
        <w:t>—</w:t>
      </w:r>
    </w:p>
    <w:p>
      <w:pPr>
        <w:pStyle w:val="TOC2"/>
      </w:pPr>
      <w:r>
        <w:t>5.2 Layer 2 — AI Security Monitoring</w:t>
      </w:r>
      <w:r>
        <w:tab/>
      </w:r>
      <w:r>
        <w:t>—</w:t>
      </w:r>
    </w:p>
    <w:p>
      <w:pPr>
        <w:pStyle w:val="TOC2"/>
      </w:pPr>
      <w:r>
        <w:t>5.3 Risk Scoring &amp; Escalation</w:t>
      </w:r>
      <w:r>
        <w:tab/>
      </w:r>
      <w:r>
        <w:t>—</w:t>
      </w:r>
    </w:p>
    <w:p>
      <w:pPr>
        <w:pStyle w:val="TOC1"/>
      </w:pPr>
      <w:r>
        <w:t>6. Knowledge Segmentation &amp; Data Classification</w:t>
      </w:r>
      <w:r>
        <w:tab/>
      </w:r>
      <w:r>
        <w:t>—</w:t>
      </w:r>
    </w:p>
    <w:p>
      <w:pPr>
        <w:pStyle w:val="TOC2"/>
      </w:pPr>
      <w:r>
        <w:t>6.1 Least Privilege for AI Agents</w:t>
      </w:r>
      <w:r>
        <w:tab/>
      </w:r>
      <w:r>
        <w:t>—</w:t>
      </w:r>
    </w:p>
    <w:p>
      <w:pPr>
        <w:pStyle w:val="TOC2"/>
      </w:pPr>
      <w:r>
        <w:t>6.2 Data Classification Scheme</w:t>
      </w:r>
      <w:r>
        <w:tab/>
      </w:r>
      <w:r>
        <w:t>—</w:t>
      </w:r>
    </w:p>
    <w:p>
      <w:pPr>
        <w:pStyle w:val="TOC1"/>
      </w:pPr>
      <w:r>
        <w:t>7. AI IT Operations Center (AIITOC)</w:t>
      </w:r>
      <w:r>
        <w:tab/>
      </w:r>
      <w:r>
        <w:t>—</w:t>
      </w:r>
    </w:p>
    <w:p>
      <w:pPr>
        <w:pStyle w:val="TOC2"/>
      </w:pPr>
      <w:r>
        <w:t>7.1 Mission &amp; Responsibilities</w:t>
      </w:r>
      <w:r>
        <w:tab/>
      </w:r>
      <w:r>
        <w:t>—</w:t>
      </w:r>
    </w:p>
    <w:p>
      <w:pPr>
        <w:pStyle w:val="TOC2"/>
      </w:pPr>
      <w:r>
        <w:t>7.2 Access Control &amp; Intellectual Property Protection</w:t>
      </w:r>
      <w:r>
        <w:tab/>
      </w:r>
      <w:r>
        <w:t>—</w:t>
      </w:r>
    </w:p>
    <w:p>
      <w:pPr>
        <w:pStyle w:val="TOC2"/>
      </w:pPr>
      <w:r>
        <w:t>7.3 Backup &amp; Disaster Recovery</w:t>
      </w:r>
      <w:r>
        <w:tab/>
      </w:r>
      <w:r>
        <w:t>—</w:t>
      </w:r>
    </w:p>
    <w:p>
      <w:pPr>
        <w:pStyle w:val="TOC2"/>
      </w:pPr>
      <w:r>
        <w:t>7.4 Manual Fallback Procedure</w:t>
      </w:r>
      <w:r>
        <w:tab/>
      </w:r>
      <w:r>
        <w:t>—</w:t>
      </w:r>
    </w:p>
    <w:p>
      <w:pPr>
        <w:pStyle w:val="TOC1"/>
      </w:pPr>
      <w:r>
        <w:t>8. Decision Governance — The Four Levels</w:t>
      </w:r>
      <w:r>
        <w:tab/>
      </w:r>
      <w:r>
        <w:t>—</w:t>
      </w:r>
    </w:p>
    <w:p>
      <w:pPr>
        <w:pStyle w:val="TOC2"/>
      </w:pPr>
      <w:r>
        <w:t>8.1 Decision Levels</w:t>
      </w:r>
      <w:r>
        <w:tab/>
      </w:r>
      <w:r>
        <w:t>—</w:t>
      </w:r>
    </w:p>
    <w:p>
      <w:pPr>
        <w:pStyle w:val="TOC2"/>
      </w:pPr>
      <w:r>
        <w:t>8.2 Standing Rules</w:t>
      </w:r>
      <w:r>
        <w:tab/>
      </w:r>
      <w:r>
        <w:t>—</w:t>
      </w:r>
    </w:p>
    <w:p>
      <w:pPr>
        <w:pStyle w:val="TOC1"/>
      </w:pPr>
      <w:r>
        <w:t>9. Change Governance</w:t>
      </w:r>
      <w:r>
        <w:tab/>
      </w:r>
      <w:r>
        <w:t>—</w:t>
      </w:r>
    </w:p>
    <w:p>
      <w:pPr>
        <w:pStyle w:val="TOC2"/>
      </w:pPr>
      <w:r>
        <w:t>9.1 The Proposed Change Record</w:t>
      </w:r>
      <w:r>
        <w:tab/>
      </w:r>
      <w:r>
        <w:t>—</w:t>
      </w:r>
    </w:p>
    <w:p>
      <w:pPr>
        <w:pStyle w:val="TOC2"/>
      </w:pPr>
      <w:r>
        <w:t>9.2 Approval Authority</w:t>
      </w:r>
      <w:r>
        <w:tab/>
      </w:r>
      <w:r>
        <w:t>—</w:t>
      </w:r>
    </w:p>
    <w:p>
      <w:pPr>
        <w:pStyle w:val="TOC1"/>
      </w:pPr>
      <w:r>
        <w:t>10. AI Learning Governance</w:t>
      </w:r>
      <w:r>
        <w:tab/>
      </w:r>
      <w:r>
        <w:t>—</w:t>
      </w:r>
    </w:p>
    <w:p>
      <w:pPr>
        <w:pStyle w:val="TOC2"/>
      </w:pPr>
      <w:r>
        <w:t>10.1 The Seven-Step Rule Pipeline</w:t>
      </w:r>
      <w:r>
        <w:tab/>
      </w:r>
      <w:r>
        <w:t>—</w:t>
      </w:r>
    </w:p>
    <w:p>
      <w:pPr>
        <w:pStyle w:val="TOC2"/>
      </w:pPr>
      <w:r>
        <w:t>10.2 Business Rule Record Standard</w:t>
      </w:r>
      <w:r>
        <w:tab/>
      </w:r>
      <w:r>
        <w:t>—</w:t>
      </w:r>
    </w:p>
    <w:p>
      <w:pPr>
        <w:pStyle w:val="TOC1"/>
      </w:pPr>
      <w:r>
        <w:t>11. Development Governance</w:t>
      </w:r>
      <w:r>
        <w:tab/>
      </w:r>
      <w:r>
        <w:t>—</w:t>
      </w:r>
    </w:p>
    <w:p>
      <w:pPr>
        <w:pStyle w:val="TOC2"/>
      </w:pPr>
      <w:r>
        <w:t>11.1 The Feature Card</w:t>
      </w:r>
      <w:r>
        <w:tab/>
      </w:r>
      <w:r>
        <w:t>—</w:t>
      </w:r>
    </w:p>
    <w:p>
      <w:pPr>
        <w:pStyle w:val="TOC2"/>
      </w:pPr>
      <w:r>
        <w:t>11.2 Definition of Ready</w:t>
      </w:r>
      <w:r>
        <w:tab/>
      </w:r>
      <w:r>
        <w:t>—</w:t>
      </w:r>
    </w:p>
    <w:p>
      <w:pPr>
        <w:pStyle w:val="TOC2"/>
      </w:pPr>
      <w:r>
        <w:t>11.3 Done Means Done</w:t>
      </w:r>
      <w:r>
        <w:tab/>
      </w:r>
      <w:r>
        <w:t>—</w:t>
      </w:r>
    </w:p>
    <w:p>
      <w:pPr>
        <w:pStyle w:val="TOC2"/>
      </w:pPr>
      <w:r>
        <w:t>11.4 AI Project Manager</w:t>
      </w:r>
      <w:r>
        <w:tab/>
      </w:r>
      <w:r>
        <w:t>—</w:t>
      </w:r>
    </w:p>
    <w:p>
      <w:pPr>
        <w:pStyle w:val="TOC2"/>
      </w:pPr>
      <w:r>
        <w:t>11.5 AI Blueprint Validator</w:t>
      </w:r>
      <w:r>
        <w:tab/>
      </w:r>
      <w:r>
        <w:t>—</w:t>
      </w:r>
    </w:p>
    <w:p>
      <w:pPr>
        <w:pStyle w:val="TOC2"/>
      </w:pPr>
      <w:r>
        <w:t>11.6 Blueprint Compliance Score</w:t>
      </w:r>
      <w:r>
        <w:tab/>
      </w:r>
      <w:r>
        <w:t>—</w:t>
      </w:r>
    </w:p>
    <w:p>
      <w:pPr>
        <w:pStyle w:val="TOC2"/>
      </w:pPr>
      <w:r>
        <w:t>11.7 Operating Cadence</w:t>
      </w:r>
      <w:r>
        <w:tab/>
      </w:r>
      <w:r>
        <w:t>—</w:t>
      </w:r>
    </w:p>
    <w:p>
      <w:pPr>
        <w:pStyle w:val="TOC1"/>
      </w:pPr>
      <w:r>
        <w:t>12. Requirements Traceability Matrix</w:t>
      </w:r>
      <w:r>
        <w:tab/>
      </w:r>
      <w:r>
        <w:t>—</w:t>
      </w:r>
    </w:p>
    <w:p>
      <w:pPr>
        <w:pStyle w:val="TOC1"/>
      </w:pPr>
      <w:r>
        <w:t>13. Implementation Phasing</w:t>
      </w:r>
      <w:r>
        <w:tab/>
      </w:r>
      <w:r>
        <w:t>—</w:t>
      </w:r>
    </w:p>
    <w:p>
      <w:pPr>
        <w:pStyle w:val="TOC1"/>
      </w:pPr>
      <w:r>
        <w:t>14. v1.1 Backlog &amp; Framework Review</w:t>
      </w:r>
      <w:r>
        <w:tab/>
      </w:r>
      <w:r>
        <w:t>—</w:t>
      </w:r>
    </w:p>
    <w:p>
      <w:pPr>
        <w:pStyle w:val="TOC1"/>
      </w:pPr>
      <w:r>
        <w:t>15. Glossary</w:t>
      </w:r>
      <w:r>
        <w:tab/>
      </w:r>
      <w:r>
        <w:t>—</w:t>
      </w:r>
    </w:p>
    <w:p>
      <w:r>
        <w:fldChar w:fldCharType="end"/>
      </w:r>
    </w:p>
    <w:p>
      <w:pPr>
        <w:sectPr>
          <w:pgSz w:w="11906" w:h="16838"/>
          <w:pgMar w:top="1600" w:right="1440" w:bottom="1440" w:left="1440" w:header="720" w:footer="720"/>
        </w:sectPr>
      </w:pPr>
    </w:p>
    <w:p>
      <w:pPr>
        <w:pStyle w:val="Heading1"/>
      </w:pPr>
      <w:r>
        <w:t>1. The Three Pillars</w:t>
      </w:r>
      <w:bookmarkStart w:name="_Toc0002" w:id="2"/>
      <w:bookmarkEnd w:id="2"/>
    </w:p>
    <w:p>
      <w:r>
        <w:t xml:space="preserve">Every module, every AI agent, every workflow, and every line of code in DOS Business OS is governed by three principles. They appear on page one because nothing in this document — and nothing built from it — may contradict them.</w:t>
      </w:r>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PILLAR I — COMMAND   </w:t>
      </w:r>
      <w:r>
        <w:rPr>
          <w:i/>
          <w:color w:val="263238"/>
          <w:sz w:val="22"/>
        </w:rPr>
        <w:t xml:space="preserve">“AI assists. AI analyzes. AI recommends. AI automates approved workflows. Humans remain accountable for strategic decisions, financial commitments, legal obligations, and company policy.”</w:t>
      </w:r>
    </w:p>
    <w:p>
      <w:r>
        <w:t xml:space="preserve">The philosophy of the entire platform. AI never carries accountability; it carries workload.</w:t>
      </w:r>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PILLAR II — STRUCTURE   </w:t>
      </w:r>
      <w:r>
        <w:rPr>
          <w:i/>
          <w:color w:val="263238"/>
          <w:sz w:val="22"/>
        </w:rPr>
        <w:t xml:space="preserve">“One AI Workforce. Many Specialized AI Employees. One Shared Business Brain.”</w:t>
      </w:r>
    </w:p>
    <w:p>
      <w:r>
        <w:t xml:space="preserve">Agents are specialists, but knowledge is shared — one workforce, coordinated centrally, learning from one memory.</w:t>
      </w:r>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PILLAR III — GOVERNANCE   </w:t>
      </w:r>
      <w:r>
        <w:rPr>
          <w:i/>
          <w:color w:val="263238"/>
          <w:sz w:val="22"/>
        </w:rPr>
        <w:t xml:space="preserve">“Every AI recommendation, business rule, and system change must be secure, traceable, approved, and continuously improved.”</w:t>
      </w:r>
    </w:p>
    <w:p>
      <w:r>
        <w:t xml:space="preserve">Automation with governance. Intelligence with accountability. Continuous learning without losing control.</w:t>
      </w:r>
    </w:p>
    <w:p>
      <w:pPr>
        <w:pStyle w:val="Heading1"/>
      </w:pPr>
      <w:r>
        <w:t>2. Purpose, Scope &amp; Document Status</w:t>
      </w:r>
      <w:bookmarkStart w:name="_Toc0003" w:id="3"/>
      <w:bookmarkEnd w:id="3"/>
    </w:p>
    <w:p>
      <w:pPr>
        <w:pStyle w:val="Heading2"/>
      </w:pPr>
      <w:r>
        <w:t>2.1 Purpose</w:t>
      </w:r>
    </w:p>
    <w:p>
      <w:r>
        <w:t xml:space="preserve">This document is the operating model for developing, deploying, governing, and continuously improving DOS Business OS — AA2000's AI-first business platform. It defines how AI agents are structured, secured, monitored, taught, changed, and held accountable.</w:t>
      </w:r>
    </w:p>
    <w:p>
      <w:pPr>
        <w:pStyle w:val="Heading2"/>
      </w:pPr>
      <w:r>
        <w:t>2.2 Scope &amp; Applicability</w:t>
      </w:r>
    </w:p>
    <w:p>
      <w:r>
        <w:t xml:space="preserve">This framework is mandatory for every DOS module — CRM, Finance, HR, Procurement, Inventory, Marketing, Executive, and the AI IT Operations Center — and for every future module. It applies equally to employees, OJT developers, contractors, and the AI agents themselves.</w:t>
      </w:r>
    </w:p>
    <w:p>
      <w:pPr>
        <w:pStyle w:val="Heading2"/>
      </w:pPr>
      <w:r>
        <w:t>2.3 How Each Audience Uses This Document</w:t>
      </w:r>
    </w:p>
    <w:p>
      <w:pPr>
        <w:numPr>
          <w:ilvl w:val="0"/>
          <w:numId w:val="1"/>
        </w:numPr>
        <w:spacing w:after="80"/>
      </w:pPr>
      <w:r>
        <w:rPr>
          <w:b/>
          <w:color w:val="37474F"/>
        </w:rPr>
        <w:t xml:space="preserve">Developers — </w:t>
      </w:r>
      <w:r>
        <w:t xml:space="preserve">build only from feature cards (Section 11.1). Nothing enters development without meeting the Definition of Ready; nothing is complete without passing Done Means Done.</w:t>
      </w:r>
    </w:p>
    <w:p>
      <w:pPr>
        <w:numPr>
          <w:ilvl w:val="0"/>
          <w:numId w:val="1"/>
        </w:numPr>
        <w:spacing w:after="80"/>
      </w:pPr>
      <w:r>
        <w:rPr>
          <w:b/>
          <w:color w:val="37474F"/>
        </w:rPr>
        <w:t xml:space="preserve">Management — </w:t>
      </w:r>
      <w:r>
        <w:t xml:space="preserve">govern through the Decision Levels (Section 8), the Proposed Change workflow (Section 9), and the Compliance Score (Section 11.6).</w:t>
      </w:r>
    </w:p>
    <w:p>
      <w:pPr>
        <w:numPr>
          <w:ilvl w:val="0"/>
          <w:numId w:val="1"/>
        </w:numPr>
        <w:spacing w:after="80"/>
      </w:pPr>
      <w:r>
        <w:rPr>
          <w:b/>
          <w:color w:val="37474F"/>
        </w:rPr>
        <w:t xml:space="preserve">AI agents — </w:t>
      </w:r>
      <w:r>
        <w:t xml:space="preserve">read this framework from the Shared Business Memory as their governing rule set. The Blueprint Validator (Section 11.5) checks development work against it.</w:t>
      </w:r>
    </w:p>
    <w:p>
      <w:pPr>
        <w:pStyle w:val="Heading2"/>
      </w:pPr>
      <w:r>
        <w:t>2.4 Version Status &amp; Freeze Policy</w:t>
      </w:r>
    </w:p>
    <w:p>
      <w:r>
        <w:t xml:space="preserve">Version 1.0 is frozen. New ideas — from any source — are recorded in the v1.1 Backlog (Section 14), not debated into the baseline. The framework is reviewed quarterly, or earlier when the backlog justifies it. This keeps the foundation stable while allowing controlled, documented evolution.</w:t>
      </w:r>
    </w:p>
    <w:p>
      <w:pPr>
        <w:pStyle w:val="Heading1"/>
      </w:pPr>
      <w:r>
        <w:t>3. System Architecture Overview</w:t>
      </w:r>
      <w:bookmarkStart w:name="_Toc0004" w:id="4"/>
      <w:bookmarkEnd w:id="4"/>
    </w:p>
    <w:p>
      <w:pPr>
        <w:pStyle w:val="Heading2"/>
      </w:pPr>
      <w:r>
        <w:t>3.1 Hub-and-Spoke Orchestration (ATO)</w:t>
      </w:r>
    </w:p>
    <w:p>
      <w:r>
        <w:t xml:space="preserve">Every AI agent communicates through the AI Task Orchestrator (ATO) — the central coordinator inside the AIITOC. Agents never make cross-business decisions in isolation: ATO routes requests, coordinates communication between agents, resolves workflow conflicts, and ensures no agent acts without the rest of the business knowing.</w:t>
      </w:r>
    </w:p>
    <w:p>
      <w:r>
        <w:t xml:space="preserve">Reference workflow — a customer email arrives:</w:t>
      </w:r>
    </w:p>
    <w:p>
      <w:pPr>
        <w:spacing w:after="80"/>
        <w:ind w:left="460" w:hanging="300"/>
      </w:pPr>
      <w:r>
        <w:rPr>
          <w:b/>
          <w:color w:val="B8860B"/>
        </w:rPr>
        <w:t>1.  </w:t>
      </w:r>
      <w:r>
        <w:t xml:space="preserve">Lead AI creates the lead.</w:t>
      </w:r>
    </w:p>
    <w:p>
      <w:pPr>
        <w:spacing w:after="80"/>
        <w:ind w:left="460" w:hanging="300"/>
      </w:pPr>
      <w:r>
        <w:rPr>
          <w:b/>
          <w:color w:val="B8860B"/>
        </w:rPr>
        <w:t>2.  </w:t>
      </w:r>
      <w:r>
        <w:t xml:space="preserve">Opportunity AI scores the opportunity.</w:t>
      </w:r>
    </w:p>
    <w:p>
      <w:pPr>
        <w:spacing w:after="80"/>
        <w:ind w:left="460" w:hanging="300"/>
      </w:pPr>
      <w:r>
        <w:rPr>
          <w:b/>
          <w:color w:val="B8860B"/>
        </w:rPr>
        <w:t>3.  </w:t>
      </w:r>
      <w:r>
        <w:t xml:space="preserve">CRM AI creates the prospect record. (A customer record is created only upon first transaction.)</w:t>
      </w:r>
    </w:p>
    <w:p>
      <w:pPr>
        <w:spacing w:after="80"/>
        <w:ind w:left="460" w:hanging="300"/>
      </w:pPr>
      <w:r>
        <w:rPr>
          <w:b/>
          <w:color w:val="B8860B"/>
        </w:rPr>
        <w:t>4.  </w:t>
      </w:r>
      <w:r>
        <w:t xml:space="preserve">Revenue AI flags whether the account is strategic.</w:t>
      </w:r>
    </w:p>
    <w:p>
      <w:pPr>
        <w:spacing w:after="80"/>
        <w:ind w:left="460" w:hanging="300"/>
      </w:pPr>
      <w:r>
        <w:rPr>
          <w:b/>
          <w:color w:val="B8860B"/>
        </w:rPr>
        <w:t>5.  </w:t>
      </w:r>
      <w:r>
        <w:t xml:space="preserve">Marketing AI retrieves similar campaigns that worked.</w:t>
      </w:r>
    </w:p>
    <w:p>
      <w:pPr>
        <w:spacing w:after="80"/>
        <w:ind w:left="460" w:hanging="300"/>
      </w:pPr>
      <w:r>
        <w:rPr>
          <w:b/>
          <w:color w:val="B8860B"/>
        </w:rPr>
        <w:t>6.  </w:t>
      </w:r>
      <w:r>
        <w:t xml:space="preserve">Quotation AI drafts the recommended solution.</w:t>
      </w:r>
    </w:p>
    <w:p>
      <w:pPr>
        <w:spacing w:after="80"/>
        <w:ind w:left="460" w:hanging="300"/>
      </w:pPr>
      <w:r>
        <w:rPr>
          <w:b/>
          <w:color w:val="B8860B"/>
        </w:rPr>
        <w:t>7.  </w:t>
      </w:r>
      <w:r>
        <w:t xml:space="preserve">Finance AI checks the customer's credit standing.</w:t>
      </w:r>
    </w:p>
    <w:p>
      <w:pPr>
        <w:spacing w:after="80"/>
        <w:ind w:left="460" w:hanging="300"/>
      </w:pPr>
      <w:r>
        <w:rPr>
          <w:b/>
          <w:color w:val="B8860B"/>
        </w:rPr>
        <w:t>8.  </w:t>
      </w:r>
      <w:r>
        <w:t xml:space="preserve">Executive AI alerts leadership if it is a major opportunity.</w:t>
      </w:r>
    </w:p>
    <w:p>
      <w:r>
        <w:rPr>
          <w:b/>
          <w:color w:val="37474F"/>
        </w:rPr>
        <w:t xml:space="preserve">Mandatory human gates.  </w:t>
      </w:r>
      <w:r>
        <w:t xml:space="preserve">Three steps in any workflow always require human approval before execution: (a) releasing a quotation to a client, (b) approving customer credit, and (c) any external communication sent on behalf of the company. Internal steps (scoring, records, research) may run automatically. See Section 8 for the full decision-level model.</w:t>
      </w:r>
    </w:p>
    <w:p>
      <w:pPr>
        <w:pStyle w:val="Heading2"/>
      </w:pPr>
      <w:r>
        <w:t>3.2 Shared Business Memory</w:t>
      </w:r>
    </w:p>
    <w:p>
      <w:r>
        <w:t xml:space="preserve">All agents draw from one common company knowledge base. When one AI is taught a new company rule, every relevant agent benefits. The Shared Business Memory contains:</w:t>
      </w:r>
    </w:p>
    <w:p>
      <w:pPr>
        <w:numPr>
          <w:ilvl w:val="0"/>
          <w:numId w:val="1"/>
        </w:numPr>
        <w:spacing w:after="80"/>
      </w:pPr>
      <w:r>
        <w:t xml:space="preserve">Business rules and pricing policies</w:t>
      </w:r>
    </w:p>
    <w:p>
      <w:pPr>
        <w:numPr>
          <w:ilvl w:val="0"/>
          <w:numId w:val="1"/>
        </w:numPr>
        <w:spacing w:after="80"/>
      </w:pPr>
      <w:r>
        <w:t xml:space="preserve">Standard operating procedures (SOPs)</w:t>
      </w:r>
    </w:p>
    <w:p>
      <w:pPr>
        <w:numPr>
          <w:ilvl w:val="0"/>
          <w:numId w:val="1"/>
        </w:numPr>
        <w:spacing w:after="80"/>
      </w:pPr>
      <w:r>
        <w:t xml:space="preserve">Customer history and product knowledge</w:t>
      </w:r>
    </w:p>
    <w:p>
      <w:pPr>
        <w:numPr>
          <w:ilvl w:val="0"/>
          <w:numId w:val="1"/>
        </w:numPr>
        <w:spacing w:after="80"/>
      </w:pPr>
      <w:r>
        <w:t xml:space="preserve">Executive decisions and lessons learned</w:t>
      </w:r>
    </w:p>
    <w:p>
      <w:pPr>
        <w:numPr>
          <w:ilvl w:val="0"/>
          <w:numId w:val="1"/>
        </w:numPr>
        <w:spacing w:after="80"/>
      </w:pPr>
      <w:r>
        <w:t xml:space="preserve">AI coaching updates from management</w:t>
      </w:r>
    </w:p>
    <w:p>
      <w:r>
        <w:t xml:space="preserve">Access to this memory is segmented by role and classification — see Section 6.</w:t>
      </w:r>
    </w:p>
    <w:p>
      <w:pPr>
        <w:pStyle w:val="Heading2"/>
      </w:pPr>
      <w:r>
        <w:t>3.3 Core Modules &amp; Human Ownership</w:t>
      </w:r>
    </w:p>
    <w:p>
      <w:r>
        <w:t xml:space="preserve">Every agent has a named human owner accountable for its output. Initial ownership assignments:</w:t>
      </w:r>
    </w:p>
    <w:tbl>
      <w:tblPr>
        <w:tblW w:w="5000" w:type="pct"/>
        <w:tblBorders>
          <w:top w:val="single" w:color="263238" w:sz="10"/>
          <w:left w:val="nil"/>
          <w:bottom w:val="single" w:color="263238" w:sz="10"/>
          <w:right w:val="nil"/>
          <w:insideH w:val="single" w:color="D8D2C4" w:sz="4"/>
          <w:insideV w:val="nil"/>
        </w:tblBorders>
      </w:tblPr>
      <w:tblGrid>
        <w:gridCol w:w="2500"/>
        <w:gridCol w:w="4100"/>
        <w:gridCol w:w="2800"/>
      </w:tblGrid>
      <w:tr>
        <w:trPr>
          <w:tblHeader/>
        </w:trPr>
        <w:tc>
          <w:tcPr>
            <w:tcW w:w="2500" w:type="dxa"/>
            <w:shd w:val="clear" w:fill="F2EFE7"/>
          </w:tcPr>
          <w:p>
            <w:pPr>
              <w:spacing w:before="50" w:after="50"/>
            </w:pPr>
            <w:r>
              <w:rPr>
                <w:b/>
                <w:color w:val="263238"/>
                <w:sz w:val="19"/>
              </w:rPr>
              <w:t xml:space="preserve">Module / Agent</w:t>
            </w:r>
          </w:p>
        </w:tc>
        <w:tc>
          <w:tcPr>
            <w:tcW w:w="4100" w:type="dxa"/>
            <w:shd w:val="clear" w:fill="F2EFE7"/>
          </w:tcPr>
          <w:p>
            <w:pPr>
              <w:spacing w:before="50" w:after="50"/>
            </w:pPr>
            <w:r>
              <w:rPr>
                <w:b/>
                <w:color w:val="263238"/>
                <w:sz w:val="19"/>
              </w:rPr>
              <w:t xml:space="preserve">Scope</w:t>
            </w:r>
          </w:p>
        </w:tc>
        <w:tc>
          <w:tcPr>
            <w:tcW w:w="2800" w:type="dxa"/>
            <w:shd w:val="clear" w:fill="F2EFE7"/>
          </w:tcPr>
          <w:p>
            <w:pPr>
              <w:spacing w:before="50" w:after="50"/>
            </w:pPr>
            <w:r>
              <w:rPr>
                <w:b/>
                <w:color w:val="263238"/>
                <w:sz w:val="19"/>
              </w:rPr>
              <w:t xml:space="preserve">Human Owner</w:t>
            </w:r>
          </w:p>
        </w:tc>
      </w:tr>
      <w:tr>
        <w:tc>
          <w:tcPr>
            <w:tcW w:w="2500" w:type="dxa"/>
          </w:tcPr>
          <w:p>
            <w:pPr>
              <w:spacing w:before="50" w:after="50"/>
            </w:pPr>
            <w:r>
              <w:rPr>
                <w:color w:val="546E7A"/>
                <w:sz w:val="19"/>
              </w:rPr>
              <w:t xml:space="preserve">Lead &amp; Marketing AI</w:t>
            </w:r>
          </w:p>
        </w:tc>
        <w:tc>
          <w:tcPr>
            <w:tcW w:w="4100" w:type="dxa"/>
          </w:tcPr>
          <w:p>
            <w:pPr>
              <w:spacing w:before="50" w:after="50"/>
            </w:pPr>
            <w:r>
              <w:rPr>
                <w:color w:val="546E7A"/>
                <w:sz w:val="19"/>
              </w:rPr>
              <w:t xml:space="preserve">Lead capture, campaigns, social content</w:t>
            </w:r>
          </w:p>
        </w:tc>
        <w:tc>
          <w:tcPr>
            <w:tcW w:w="2800" w:type="dxa"/>
          </w:tcPr>
          <w:p>
            <w:pPr>
              <w:spacing w:before="50" w:after="50"/>
            </w:pPr>
            <w:r>
              <w:rPr>
                <w:color w:val="546E7A"/>
                <w:sz w:val="19"/>
              </w:rPr>
              <w:t xml:space="preserve">Business Development (Archie)</w:t>
            </w:r>
          </w:p>
        </w:tc>
      </w:tr>
      <w:tr>
        <w:tc>
          <w:tcPr>
            <w:tcW w:w="2500" w:type="dxa"/>
          </w:tcPr>
          <w:p>
            <w:pPr>
              <w:spacing w:before="50" w:after="50"/>
            </w:pPr>
            <w:r>
              <w:rPr>
                <w:color w:val="546E7A"/>
                <w:sz w:val="19"/>
              </w:rPr>
              <w:t xml:space="preserve">CRM AI</w:t>
            </w:r>
          </w:p>
        </w:tc>
        <w:tc>
          <w:tcPr>
            <w:tcW w:w="4100" w:type="dxa"/>
          </w:tcPr>
          <w:p>
            <w:pPr>
              <w:spacing w:before="50" w:after="50"/>
            </w:pPr>
            <w:r>
              <w:rPr>
                <w:color w:val="546E7A"/>
                <w:sz w:val="19"/>
              </w:rPr>
              <w:t xml:space="preserve">Prospect &amp; customer records, pipeline</w:t>
            </w:r>
          </w:p>
        </w:tc>
        <w:tc>
          <w:tcPr>
            <w:tcW w:w="2800" w:type="dxa"/>
          </w:tcPr>
          <w:p>
            <w:pPr>
              <w:spacing w:before="50" w:after="50"/>
            </w:pPr>
            <w:r>
              <w:rPr>
                <w:color w:val="546E7A"/>
                <w:sz w:val="19"/>
              </w:rPr>
              <w:t xml:space="preserve">Business Development (Archie)</w:t>
            </w:r>
          </w:p>
        </w:tc>
      </w:tr>
      <w:tr>
        <w:tc>
          <w:tcPr>
            <w:tcW w:w="2500" w:type="dxa"/>
          </w:tcPr>
          <w:p>
            <w:pPr>
              <w:spacing w:before="50" w:after="50"/>
            </w:pPr>
            <w:r>
              <w:rPr>
                <w:color w:val="546E7A"/>
                <w:sz w:val="19"/>
              </w:rPr>
              <w:t xml:space="preserve">Quotation AI</w:t>
            </w:r>
          </w:p>
        </w:tc>
        <w:tc>
          <w:tcPr>
            <w:tcW w:w="4100" w:type="dxa"/>
          </w:tcPr>
          <w:p>
            <w:pPr>
              <w:spacing w:before="50" w:after="50"/>
            </w:pPr>
            <w:r>
              <w:rPr>
                <w:color w:val="546E7A"/>
                <w:sz w:val="19"/>
              </w:rPr>
              <w:t xml:space="preserve">Solution design, pricing drafts</w:t>
            </w:r>
          </w:p>
        </w:tc>
        <w:tc>
          <w:tcPr>
            <w:tcW w:w="2800" w:type="dxa"/>
          </w:tcPr>
          <w:p>
            <w:pPr>
              <w:spacing w:before="50" w:after="50"/>
            </w:pPr>
            <w:r>
              <w:rPr>
                <w:color w:val="546E7A"/>
                <w:sz w:val="19"/>
              </w:rPr>
              <w:t xml:space="preserve">Director (pricing-sensitive)</w:t>
            </w:r>
          </w:p>
        </w:tc>
      </w:tr>
      <w:tr>
        <w:tc>
          <w:tcPr>
            <w:tcW w:w="2500" w:type="dxa"/>
          </w:tcPr>
          <w:p>
            <w:pPr>
              <w:spacing w:before="50" w:after="50"/>
            </w:pPr>
            <w:r>
              <w:rPr>
                <w:color w:val="546E7A"/>
                <w:sz w:val="19"/>
              </w:rPr>
              <w:t xml:space="preserve">Finance AI</w:t>
            </w:r>
          </w:p>
        </w:tc>
        <w:tc>
          <w:tcPr>
            <w:tcW w:w="4100" w:type="dxa"/>
          </w:tcPr>
          <w:p>
            <w:pPr>
              <w:spacing w:before="50" w:after="50"/>
            </w:pPr>
            <w:r>
              <w:rPr>
                <w:color w:val="546E7A"/>
                <w:sz w:val="19"/>
              </w:rPr>
              <w:t xml:space="preserve">Credit checks, collections, liquidation</w:t>
            </w:r>
          </w:p>
        </w:tc>
        <w:tc>
          <w:tcPr>
            <w:tcW w:w="2800" w:type="dxa"/>
          </w:tcPr>
          <w:p>
            <w:pPr>
              <w:spacing w:before="50" w:after="50"/>
            </w:pPr>
            <w:r>
              <w:rPr>
                <w:color w:val="546E7A"/>
                <w:sz w:val="19"/>
              </w:rPr>
              <w:t xml:space="preserve">Director, Operations (Princess)</w:t>
            </w:r>
          </w:p>
        </w:tc>
      </w:tr>
      <w:tr>
        <w:tc>
          <w:tcPr>
            <w:tcW w:w="2500" w:type="dxa"/>
          </w:tcPr>
          <w:p>
            <w:pPr>
              <w:spacing w:before="50" w:after="50"/>
            </w:pPr>
            <w:r>
              <w:rPr>
                <w:color w:val="546E7A"/>
                <w:sz w:val="19"/>
              </w:rPr>
              <w:t xml:space="preserve">HR &amp; Admin AI</w:t>
            </w:r>
          </w:p>
        </w:tc>
        <w:tc>
          <w:tcPr>
            <w:tcW w:w="4100" w:type="dxa"/>
          </w:tcPr>
          <w:p>
            <w:pPr>
              <w:spacing w:before="50" w:after="50"/>
            </w:pPr>
            <w:r>
              <w:rPr>
                <w:color w:val="546E7A"/>
                <w:sz w:val="19"/>
              </w:rPr>
              <w:t xml:space="preserve">Policies, onboarding, records</w:t>
            </w:r>
          </w:p>
        </w:tc>
        <w:tc>
          <w:tcPr>
            <w:tcW w:w="2800" w:type="dxa"/>
          </w:tcPr>
          <w:p>
            <w:pPr>
              <w:spacing w:before="50" w:after="50"/>
            </w:pPr>
            <w:r>
              <w:rPr>
                <w:color w:val="546E7A"/>
                <w:sz w:val="19"/>
              </w:rPr>
              <w:t xml:space="preserve">Director, Operations (Princess)</w:t>
            </w:r>
          </w:p>
        </w:tc>
      </w:tr>
      <w:tr>
        <w:tc>
          <w:tcPr>
            <w:tcW w:w="2500" w:type="dxa"/>
          </w:tcPr>
          <w:p>
            <w:pPr>
              <w:spacing w:before="50" w:after="50"/>
            </w:pPr>
            <w:r>
              <w:rPr>
                <w:color w:val="546E7A"/>
                <w:sz w:val="19"/>
              </w:rPr>
              <w:t xml:space="preserve">Procurement &amp; Inventory AI</w:t>
            </w:r>
          </w:p>
        </w:tc>
        <w:tc>
          <w:tcPr>
            <w:tcW w:w="4100" w:type="dxa"/>
          </w:tcPr>
          <w:p>
            <w:pPr>
              <w:spacing w:before="50" w:after="50"/>
            </w:pPr>
            <w:r>
              <w:rPr>
                <w:color w:val="546E7A"/>
                <w:sz w:val="19"/>
              </w:rPr>
              <w:t xml:space="preserve">Suppliers, stock, reorder points</w:t>
            </w:r>
          </w:p>
        </w:tc>
        <w:tc>
          <w:tcPr>
            <w:tcW w:w="2800" w:type="dxa"/>
          </w:tcPr>
          <w:p>
            <w:pPr>
              <w:spacing w:before="50" w:after="50"/>
            </w:pPr>
            <w:r>
              <w:rPr>
                <w:color w:val="546E7A"/>
                <w:sz w:val="19"/>
              </w:rPr>
              <w:t xml:space="preserve">Director, Operations (Princess)</w:t>
            </w:r>
          </w:p>
        </w:tc>
      </w:tr>
      <w:tr>
        <w:tc>
          <w:tcPr>
            <w:tcW w:w="2500" w:type="dxa"/>
          </w:tcPr>
          <w:p>
            <w:pPr>
              <w:spacing w:before="50" w:after="50"/>
            </w:pPr>
            <w:r>
              <w:rPr>
                <w:color w:val="546E7A"/>
                <w:sz w:val="19"/>
              </w:rPr>
              <w:t xml:space="preserve">Technical Knowledge AI</w:t>
            </w:r>
          </w:p>
        </w:tc>
        <w:tc>
          <w:tcPr>
            <w:tcW w:w="4100" w:type="dxa"/>
          </w:tcPr>
          <w:p>
            <w:pPr>
              <w:spacing w:before="50" w:after="50"/>
            </w:pPr>
            <w:r>
              <w:rPr>
                <w:color w:val="546E7A"/>
                <w:sz w:val="19"/>
              </w:rPr>
              <w:t xml:space="preserve">FDAS/CCTV/access standards, SOPs</w:t>
            </w:r>
          </w:p>
        </w:tc>
        <w:tc>
          <w:tcPr>
            <w:tcW w:w="2800" w:type="dxa"/>
          </w:tcPr>
          <w:p>
            <w:pPr>
              <w:spacing w:before="50" w:after="50"/>
            </w:pPr>
            <w:r>
              <w:rPr>
                <w:color w:val="546E7A"/>
                <w:sz w:val="19"/>
              </w:rPr>
              <w:t xml:space="preserve">Technical Leads (JP, Riderick)</w:t>
            </w:r>
          </w:p>
        </w:tc>
      </w:tr>
      <w:tr>
        <w:tc>
          <w:tcPr>
            <w:tcW w:w="2500" w:type="dxa"/>
          </w:tcPr>
          <w:p>
            <w:pPr>
              <w:spacing w:before="50" w:after="50"/>
            </w:pPr>
            <w:r>
              <w:rPr>
                <w:color w:val="546E7A"/>
                <w:sz w:val="19"/>
              </w:rPr>
              <w:t xml:space="preserve">Executive &amp; Revenue AI</w:t>
            </w:r>
          </w:p>
        </w:tc>
        <w:tc>
          <w:tcPr>
            <w:tcW w:w="4100" w:type="dxa"/>
          </w:tcPr>
          <w:p>
            <w:pPr>
              <w:spacing w:before="50" w:after="50"/>
            </w:pPr>
            <w:r>
              <w:rPr>
                <w:color w:val="546E7A"/>
                <w:sz w:val="19"/>
              </w:rPr>
              <w:t xml:space="preserve">Strategic alerts, dashboards</w:t>
            </w:r>
          </w:p>
        </w:tc>
        <w:tc>
          <w:tcPr>
            <w:tcW w:w="2800" w:type="dxa"/>
          </w:tcPr>
          <w:p>
            <w:pPr>
              <w:spacing w:before="50" w:after="50"/>
            </w:pPr>
            <w:r>
              <w:rPr>
                <w:color w:val="546E7A"/>
                <w:sz w:val="19"/>
              </w:rPr>
              <w:t xml:space="preserve">Director (Roy)</w:t>
            </w:r>
          </w:p>
        </w:tc>
      </w:tr>
      <w:tr>
        <w:tc>
          <w:tcPr>
            <w:tcW w:w="2500" w:type="dxa"/>
          </w:tcPr>
          <w:p>
            <w:pPr>
              <w:spacing w:before="50" w:after="50"/>
            </w:pPr>
            <w:r>
              <w:rPr>
                <w:color w:val="546E7A"/>
                <w:sz w:val="19"/>
              </w:rPr>
              <w:t xml:space="preserve">AIITOC</w:t>
            </w:r>
          </w:p>
        </w:tc>
        <w:tc>
          <w:tcPr>
            <w:tcW w:w="4100" w:type="dxa"/>
          </w:tcPr>
          <w:p>
            <w:pPr>
              <w:spacing w:before="50" w:after="50"/>
            </w:pPr>
            <w:r>
              <w:rPr>
                <w:color w:val="546E7A"/>
                <w:sz w:val="19"/>
              </w:rPr>
              <w:t xml:space="preserve">The AI workforce itself</w:t>
            </w:r>
          </w:p>
        </w:tc>
        <w:tc>
          <w:tcPr>
            <w:tcW w:w="2800" w:type="dxa"/>
          </w:tcPr>
          <w:p>
            <w:pPr>
              <w:spacing w:before="50" w:after="50"/>
            </w:pPr>
            <w:r>
              <w:rPr>
                <w:color w:val="546E7A"/>
                <w:sz w:val="19"/>
              </w:rPr>
              <w:t xml:space="preserve">Director (Roy) + IT Team</w:t>
            </w:r>
          </w:p>
        </w:tc>
      </w:tr>
    </w:tbl>
    <w:p>
      <w:pPr>
        <w:spacing w:after="120"/>
      </w:pPr>
    </w:p>
    <w:p>
      <w:pPr>
        <w:pStyle w:val="Heading1"/>
      </w:pPr>
      <w:r>
        <w:t>4. AI Employee Assistant &amp; Role-Based Access</w:t>
      </w:r>
      <w:bookmarkStart w:name="_Toc0005" w:id="5"/>
      <w:bookmarkEnd w:id="5"/>
    </w:p>
    <w:p>
      <w:pPr>
        <w:pStyle w:val="Heading2"/>
      </w:pPr>
      <w:r>
        <w:t>4.1 Capabilities</w:t>
      </w:r>
    </w:p>
    <w:p>
      <w:r>
        <w:t xml:space="preserve">Every employee receives an AI assistant, accessed under their personal user ID, that can:</w:t>
      </w:r>
    </w:p>
    <w:p>
      <w:pPr>
        <w:numPr>
          <w:ilvl w:val="0"/>
          <w:numId w:val="1"/>
        </w:numPr>
        <w:spacing w:after="80"/>
      </w:pPr>
      <w:r>
        <w:t xml:space="preserve">Answer SOP questions and explain company policies</w:t>
      </w:r>
    </w:p>
    <w:p>
      <w:pPr>
        <w:numPr>
          <w:ilvl w:val="0"/>
          <w:numId w:val="1"/>
        </w:numPr>
        <w:spacing w:after="80"/>
      </w:pPr>
      <w:r>
        <w:t xml:space="preserve">Explain workflows and guide users step by step</w:t>
      </w:r>
    </w:p>
    <w:p>
      <w:pPr>
        <w:numPr>
          <w:ilvl w:val="0"/>
          <w:numId w:val="1"/>
        </w:numPr>
        <w:spacing w:after="80"/>
      </w:pPr>
      <w:r>
        <w:t xml:space="preserve">Search company documents and provide product knowledge</w:t>
      </w:r>
    </w:p>
    <w:p>
      <w:pPr>
        <w:numPr>
          <w:ilvl w:val="0"/>
          <w:numId w:val="1"/>
        </w:numPr>
        <w:spacing w:after="80"/>
      </w:pPr>
      <w:r>
        <w:t xml:space="preserve">Teach and onboard new employees (doubling as the SOP trainer for knowledge transfer)</w:t>
      </w:r>
    </w:p>
    <w:p>
      <w:pPr>
        <w:numPr>
          <w:ilvl w:val="0"/>
          <w:numId w:val="1"/>
        </w:numPr>
        <w:spacing w:after="80"/>
      </w:pPr>
      <w:r>
        <w:t xml:space="preserve">Answer HR questions within the user's permissions</w:t>
      </w:r>
    </w:p>
    <w:p>
      <w:pPr>
        <w:numPr>
          <w:ilvl w:val="0"/>
          <w:numId w:val="1"/>
        </w:numPr>
        <w:spacing w:after="80"/>
      </w:pPr>
      <w:r>
        <w:t xml:space="preserve">Explain quotations and inventory status (Phase 2 — live data)</w:t>
      </w:r>
    </w:p>
    <w:p>
      <w:pPr>
        <w:pStyle w:val="Heading2"/>
      </w:pPr>
      <w:r>
        <w:t>4.2 The Permission Inheritance Rule</w:t>
      </w:r>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RULE   </w:t>
      </w:r>
      <w:r>
        <w:rPr>
          <w:i/>
          <w:color w:val="263238"/>
          <w:sz w:val="22"/>
        </w:rPr>
        <w:t xml:space="preserve">“The assistant only sees what the employee is authorized to access. No exceptions.”</w:t>
      </w:r>
    </w:p>
    <w:p>
      <w:r>
        <w:t xml:space="preserve">The assistant inherits the user's role and permissions at login. It must refuse — politely and explicitly — any request outside that scope. The assistant is never smarter than the user's access level; this makes it a security feature rather than a leak.</w:t>
      </w:r>
    </w:p>
    <w:p>
      <w:pPr>
        <w:pStyle w:val="Heading2"/>
      </w:pPr>
      <w:r>
        <w:t>4.3 Delivery Phasing</w:t>
      </w:r>
    </w:p>
    <w:p>
      <w:r>
        <w:t xml:space="preserve">Phase 1 delivers document- and SOP-based assistance (policies, product knowledge, onboarding). Phase 2 adds live system data (inventory status, quotation status), which requires deeper integration. This split prevents one difficult feature from stalling the entire build.</w:t>
      </w:r>
    </w:p>
    <w:p>
      <w:pPr>
        <w:pStyle w:val="Heading1"/>
      </w:pPr>
      <w:r>
        <w:t>5. Two-Layer Security Model</w:t>
      </w:r>
      <w:bookmarkStart w:name="_Toc0006" w:id="6"/>
      <w:bookmarkEnd w:id="6"/>
    </w:p>
    <w:p>
      <w:r>
        <w:t xml:space="preserve">Security in DOS Business OS is divided into two cooperating layers. The AI supervises security; it does not become the security software.</w:t>
      </w:r>
    </w:p>
    <w:p>
      <w:pPr>
        <w:pStyle w:val="Heading2"/>
      </w:pPr>
      <w:r>
        <w:t>5.1 Layer 1 — Cybersecurity Tools</w:t>
      </w:r>
    </w:p>
    <w:p>
      <w:r>
        <w:t xml:space="preserve">Dedicated security software defends the platform. These tools are selected, deployed, and maintained by the IT Team:</w:t>
      </w:r>
    </w:p>
    <w:p>
      <w:pPr>
        <w:numPr>
          <w:ilvl w:val="0"/>
          <w:numId w:val="1"/>
        </w:numPr>
        <w:spacing w:after="80"/>
      </w:pPr>
      <w:r>
        <w:t xml:space="preserve">Endpoint protection (Microsoft Defender, CrowdStrike, or Sangfor) with Endpoint Detection &amp; Response (EDR)</w:t>
      </w:r>
    </w:p>
    <w:p>
      <w:pPr>
        <w:numPr>
          <w:ilvl w:val="0"/>
          <w:numId w:val="1"/>
        </w:numPr>
        <w:spacing w:after="80"/>
      </w:pPr>
      <w:r>
        <w:t xml:space="preserve">Firewall and network segmentation</w:t>
      </w:r>
    </w:p>
    <w:p>
      <w:pPr>
        <w:numPr>
          <w:ilvl w:val="0"/>
          <w:numId w:val="1"/>
        </w:numPr>
        <w:spacing w:after="80"/>
      </w:pPr>
      <w:r>
        <w:t xml:space="preserve">Antivirus and anti-spyware</w:t>
      </w:r>
    </w:p>
    <w:p>
      <w:pPr>
        <w:numPr>
          <w:ilvl w:val="0"/>
          <w:numId w:val="1"/>
        </w:numPr>
        <w:spacing w:after="80"/>
      </w:pPr>
      <w:r>
        <w:t xml:space="preserve">Encryption: TLS/HTTPS for data in transit, AES-256 for data at rest</w:t>
      </w:r>
    </w:p>
    <w:p>
      <w:pPr>
        <w:pStyle w:val="Heading2"/>
      </w:pPr>
      <w:r>
        <w:t>5.2 Layer 2 — AI Security Monitoring</w:t>
      </w:r>
    </w:p>
    <w:p>
      <w:r>
        <w:t xml:space="preserve">The AI layer reads the signals produced by Layer 1 and by the platform itself, and continuously watches for:</w:t>
      </w:r>
    </w:p>
    <w:p>
      <w:pPr>
        <w:numPr>
          <w:ilvl w:val="0"/>
          <w:numId w:val="1"/>
        </w:numPr>
        <w:spacing w:after="80"/>
      </w:pPr>
      <w:r>
        <w:t xml:space="preserve">Unusual login times and impossible travel (e.g., login from Manila, then from another country minutes later)</w:t>
      </w:r>
    </w:p>
    <w:p>
      <w:pPr>
        <w:numPr>
          <w:ilvl w:val="0"/>
          <w:numId w:val="1"/>
        </w:numPr>
        <w:spacing w:after="80"/>
      </w:pPr>
      <w:r>
        <w:t xml:space="preserve">Massive or unusual downloads</w:t>
      </w:r>
    </w:p>
    <w:p>
      <w:pPr>
        <w:numPr>
          <w:ilvl w:val="0"/>
          <w:numId w:val="1"/>
        </w:numPr>
        <w:spacing w:after="80"/>
      </w:pPr>
      <w:r>
        <w:t xml:space="preserve">Repeated failed logins and unauthorized approval attempts</w:t>
      </w:r>
    </w:p>
    <w:p>
      <w:pPr>
        <w:numPr>
          <w:ilvl w:val="0"/>
          <w:numId w:val="1"/>
        </w:numPr>
        <w:spacing w:after="80"/>
      </w:pPr>
      <w:r>
        <w:t xml:space="preserve">Suspicious supplier changes (new bank details, substituted accounts)</w:t>
      </w:r>
    </w:p>
    <w:p>
      <w:pPr>
        <w:numPr>
          <w:ilvl w:val="0"/>
          <w:numId w:val="1"/>
        </w:numPr>
        <w:spacing w:after="80"/>
      </w:pPr>
      <w:r>
        <w:t xml:space="preserve">Unusual payment patterns and abnormal inventory movements</w:t>
      </w:r>
    </w:p>
    <w:p>
      <w:pPr>
        <w:pStyle w:val="Heading2"/>
      </w:pPr>
      <w:r>
        <w:t>5.3 Risk Scoring &amp; Escalation</w:t>
      </w:r>
    </w:p>
    <w:p>
      <w:r>
        <w:t xml:space="preserve">The AI does not auto-block. It produces a Risk Score for each event and escalates when thresholds are crossed — one false positive must never lock an executive out during a site visit. Escalation order: Director (Roy) → Director, Operations (Princess) → IT Team.</w:t>
      </w:r>
    </w:p>
    <w:tbl>
      <w:tblPr>
        <w:tblW w:w="5000" w:type="pct"/>
        <w:tblBorders>
          <w:top w:val="single" w:color="263238" w:sz="10"/>
          <w:left w:val="nil"/>
          <w:bottom w:val="single" w:color="263238" w:sz="10"/>
          <w:right w:val="nil"/>
          <w:insideH w:val="single" w:color="D8D2C4" w:sz="4"/>
          <w:insideV w:val="nil"/>
        </w:tblBorders>
      </w:tblPr>
      <w:tblGrid>
        <w:gridCol w:w="1500"/>
        <w:gridCol w:w="4700"/>
        <w:gridCol w:w="3200"/>
      </w:tblGrid>
      <w:tr>
        <w:trPr>
          <w:tblHeader/>
        </w:trPr>
        <w:tc>
          <w:tcPr>
            <w:tcW w:w="1500" w:type="dxa"/>
            <w:shd w:val="clear" w:fill="F2EFE7"/>
          </w:tcPr>
          <w:p>
            <w:pPr>
              <w:spacing w:before="50" w:after="50"/>
            </w:pPr>
            <w:r>
              <w:rPr>
                <w:b/>
                <w:color w:val="263238"/>
                <w:sz w:val="19"/>
              </w:rPr>
              <w:t xml:space="preserve">Risk Level</w:t>
            </w:r>
          </w:p>
        </w:tc>
        <w:tc>
          <w:tcPr>
            <w:tcW w:w="4700" w:type="dxa"/>
            <w:shd w:val="clear" w:fill="F2EFE7"/>
          </w:tcPr>
          <w:p>
            <w:pPr>
              <w:spacing w:before="50" w:after="50"/>
            </w:pPr>
            <w:r>
              <w:rPr>
                <w:b/>
                <w:color w:val="263238"/>
                <w:sz w:val="19"/>
              </w:rPr>
              <w:t xml:space="preserve">AI Response</w:t>
            </w:r>
          </w:p>
        </w:tc>
        <w:tc>
          <w:tcPr>
            <w:tcW w:w="3200" w:type="dxa"/>
            <w:shd w:val="clear" w:fill="F2EFE7"/>
          </w:tcPr>
          <w:p>
            <w:pPr>
              <w:spacing w:before="50" w:after="50"/>
            </w:pPr>
            <w:r>
              <w:rPr>
                <w:b/>
                <w:color w:val="263238"/>
                <w:sz w:val="19"/>
              </w:rPr>
              <w:t xml:space="preserve">Human Notification</w:t>
            </w:r>
          </w:p>
        </w:tc>
      </w:tr>
      <w:tr>
        <w:tc>
          <w:tcPr>
            <w:tcW w:w="1500" w:type="dxa"/>
          </w:tcPr>
          <w:p>
            <w:pPr>
              <w:spacing w:before="50" w:after="50"/>
            </w:pPr>
            <w:r>
              <w:rPr>
                <w:color w:val="546E7A"/>
                <w:sz w:val="19"/>
              </w:rPr>
              <w:t xml:space="preserve">Low</w:t>
            </w:r>
          </w:p>
        </w:tc>
        <w:tc>
          <w:tcPr>
            <w:tcW w:w="4700" w:type="dxa"/>
          </w:tcPr>
          <w:p>
            <w:pPr>
              <w:spacing w:before="50" w:after="50"/>
            </w:pPr>
            <w:r>
              <w:rPr>
                <w:color w:val="546E7A"/>
                <w:sz w:val="19"/>
              </w:rPr>
              <w:t xml:space="preserve">Log only; include in weekly security summary</w:t>
            </w:r>
          </w:p>
        </w:tc>
        <w:tc>
          <w:tcPr>
            <w:tcW w:w="3200" w:type="dxa"/>
          </w:tcPr>
          <w:p>
            <w:pPr>
              <w:spacing w:before="50" w:after="50"/>
            </w:pPr>
            <w:r>
              <w:rPr>
                <w:color w:val="546E7A"/>
                <w:sz w:val="19"/>
              </w:rPr>
              <w:t xml:space="preserve">None (reported in summary)</w:t>
            </w:r>
          </w:p>
        </w:tc>
      </w:tr>
      <w:tr>
        <w:tc>
          <w:tcPr>
            <w:tcW w:w="1500" w:type="dxa"/>
          </w:tcPr>
          <w:p>
            <w:pPr>
              <w:spacing w:before="50" w:after="50"/>
            </w:pPr>
            <w:r>
              <w:rPr>
                <w:color w:val="546E7A"/>
                <w:sz w:val="19"/>
              </w:rPr>
              <w:t xml:space="preserve">Medium</w:t>
            </w:r>
          </w:p>
        </w:tc>
        <w:tc>
          <w:tcPr>
            <w:tcW w:w="4700" w:type="dxa"/>
          </w:tcPr>
          <w:p>
            <w:pPr>
              <w:spacing w:before="50" w:after="50"/>
            </w:pPr>
            <w:r>
              <w:rPr>
                <w:color w:val="546E7A"/>
                <w:sz w:val="19"/>
              </w:rPr>
              <w:t xml:space="preserve">Log and flag for review within 24 hours</w:t>
            </w:r>
          </w:p>
        </w:tc>
        <w:tc>
          <w:tcPr>
            <w:tcW w:w="3200" w:type="dxa"/>
          </w:tcPr>
          <w:p>
            <w:pPr>
              <w:spacing w:before="50" w:after="50"/>
            </w:pPr>
            <w:r>
              <w:rPr>
                <w:color w:val="546E7A"/>
                <w:sz w:val="19"/>
              </w:rPr>
              <w:t xml:space="preserve">IT Team</w:t>
            </w:r>
          </w:p>
        </w:tc>
      </w:tr>
      <w:tr>
        <w:tc>
          <w:tcPr>
            <w:tcW w:w="1500" w:type="dxa"/>
          </w:tcPr>
          <w:p>
            <w:pPr>
              <w:spacing w:before="50" w:after="50"/>
            </w:pPr>
            <w:r>
              <w:rPr>
                <w:color w:val="546E7A"/>
                <w:sz w:val="19"/>
              </w:rPr>
              <w:t xml:space="preserve">High</w:t>
            </w:r>
          </w:p>
        </w:tc>
        <w:tc>
          <w:tcPr>
            <w:tcW w:w="4700" w:type="dxa"/>
          </w:tcPr>
          <w:p>
            <w:pPr>
              <w:spacing w:before="50" w:after="50"/>
            </w:pPr>
            <w:r>
              <w:rPr>
                <w:color w:val="546E7A"/>
                <w:sz w:val="19"/>
              </w:rPr>
              <w:t xml:space="preserve">Real-time alert; recommend containment action</w:t>
            </w:r>
          </w:p>
        </w:tc>
        <w:tc>
          <w:tcPr>
            <w:tcW w:w="3200" w:type="dxa"/>
          </w:tcPr>
          <w:p>
            <w:pPr>
              <w:spacing w:before="50" w:after="50"/>
            </w:pPr>
            <w:r>
              <w:rPr>
                <w:color w:val="546E7A"/>
                <w:sz w:val="19"/>
              </w:rPr>
              <w:t xml:space="preserve">Princess + IT Team</w:t>
            </w:r>
          </w:p>
        </w:tc>
      </w:tr>
      <w:tr>
        <w:tc>
          <w:tcPr>
            <w:tcW w:w="1500" w:type="dxa"/>
          </w:tcPr>
          <w:p>
            <w:pPr>
              <w:spacing w:before="50" w:after="50"/>
            </w:pPr>
            <w:r>
              <w:rPr>
                <w:color w:val="546E7A"/>
                <w:sz w:val="19"/>
              </w:rPr>
              <w:t xml:space="preserve">Critical</w:t>
            </w:r>
          </w:p>
        </w:tc>
        <w:tc>
          <w:tcPr>
            <w:tcW w:w="4700" w:type="dxa"/>
          </w:tcPr>
          <w:p>
            <w:pPr>
              <w:spacing w:before="50" w:after="50"/>
            </w:pPr>
            <w:r>
              <w:rPr>
                <w:color w:val="546E7A"/>
                <w:sz w:val="19"/>
              </w:rPr>
              <w:t xml:space="preserve">Immediate alert; prepare one-click containment for approval</w:t>
            </w:r>
          </w:p>
        </w:tc>
        <w:tc>
          <w:tcPr>
            <w:tcW w:w="3200" w:type="dxa"/>
          </w:tcPr>
          <w:p>
            <w:pPr>
              <w:spacing w:before="50" w:after="50"/>
            </w:pPr>
            <w:r>
              <w:rPr>
                <w:color w:val="546E7A"/>
                <w:sz w:val="19"/>
              </w:rPr>
              <w:t xml:space="preserve">Roy (immediate) + Princess + IT</w:t>
            </w:r>
          </w:p>
        </w:tc>
      </w:tr>
    </w:tbl>
    <w:p>
      <w:pPr>
        <w:spacing w:after="120"/>
      </w:pPr>
    </w:p>
    <w:p>
      <w:r>
        <w:rPr>
          <w:b/>
          <w:color w:val="37474F"/>
        </w:rPr>
        <w:t xml:space="preserve">Learning mode.  </w:t>
      </w:r>
      <w:r>
        <w:t xml:space="preserve">For the first 30 days after deployment, the AI observes and scores but only alerts — thresholds are calibrated with real data before enforcement begins. This prevents alert fatigue and premature lockouts.</w:t>
      </w:r>
    </w:p>
    <w:p>
      <w:pPr>
        <w:pStyle w:val="Heading1"/>
      </w:pPr>
      <w:r>
        <w:t>6. Knowledge Segmentation &amp; Data Classification</w:t>
      </w:r>
      <w:bookmarkStart w:name="_Toc0007" w:id="7"/>
      <w:bookmarkEnd w:id="7"/>
    </w:p>
    <w:p>
      <w:pPr>
        <w:pStyle w:val="Heading2"/>
      </w:pPr>
      <w:r>
        <w:t>6.1 Least Privilege for AI Agents</w:t>
      </w:r>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PRINCIPLE   </w:t>
      </w:r>
      <w:r>
        <w:rPr>
          <w:i/>
          <w:color w:val="263238"/>
          <w:sz w:val="22"/>
        </w:rPr>
        <w:t xml:space="preserve">“One shared brain, but with locked rooms — each agent holds only its own keys.”</w:t>
      </w:r>
    </w:p>
    <w:p>
      <w:r>
        <w:t xml:space="preserve">Users are not the only ones on least privilege — the agents are too. Not every AI agent may know everything:</w:t>
      </w:r>
    </w:p>
    <w:p>
      <w:pPr>
        <w:numPr>
          <w:ilvl w:val="0"/>
          <w:numId w:val="1"/>
        </w:numPr>
        <w:spacing w:after="80"/>
      </w:pPr>
      <w:r>
        <w:t xml:space="preserve">Sales AI has no access to payroll data.</w:t>
      </w:r>
    </w:p>
    <w:p>
      <w:pPr>
        <w:numPr>
          <w:ilvl w:val="0"/>
          <w:numId w:val="1"/>
        </w:numPr>
        <w:spacing w:after="80"/>
      </w:pPr>
      <w:r>
        <w:t xml:space="preserve">HR AI has no access to supplier contracts.</w:t>
      </w:r>
    </w:p>
    <w:p>
      <w:pPr>
        <w:numPr>
          <w:ilvl w:val="0"/>
          <w:numId w:val="1"/>
        </w:numPr>
        <w:spacing w:after="80"/>
      </w:pPr>
      <w:r>
        <w:t xml:space="preserve">Procurement AI has no access to employee salaries.</w:t>
      </w:r>
    </w:p>
    <w:p>
      <w:pPr>
        <w:numPr>
          <w:ilvl w:val="0"/>
          <w:numId w:val="1"/>
        </w:numPr>
        <w:spacing w:after="80"/>
      </w:pPr>
      <w:r>
        <w:t xml:space="preserve">Marketing AI has no access to accounting journals.</w:t>
      </w:r>
    </w:p>
    <w:p>
      <w:pPr>
        <w:pStyle w:val="Heading2"/>
      </w:pPr>
      <w:r>
        <w:t>6.2 Data Classification Scheme</w:t>
      </w:r>
    </w:p>
    <w:p>
      <w:r>
        <w:t xml:space="preserve">Segmentation requires every document and dataset to carry a classification tag. The tag determines which roles — human or AI — may access it:</w:t>
      </w:r>
    </w:p>
    <w:tbl>
      <w:tblPr>
        <w:tblW w:w="5000" w:type="pct"/>
        <w:tblBorders>
          <w:top w:val="single" w:color="263238" w:sz="10"/>
          <w:left w:val="nil"/>
          <w:bottom w:val="single" w:color="263238" w:sz="10"/>
          <w:right w:val="nil"/>
          <w:insideH w:val="single" w:color="D8D2C4" w:sz="4"/>
          <w:insideV w:val="nil"/>
        </w:tblBorders>
      </w:tblPr>
      <w:tblGrid>
        <w:gridCol w:w="1600"/>
        <w:gridCol w:w="2500"/>
        <w:gridCol w:w="3300"/>
        <w:gridCol w:w="2000"/>
      </w:tblGrid>
      <w:tr>
        <w:trPr>
          <w:tblHeader/>
        </w:trPr>
        <w:tc>
          <w:tcPr>
            <w:tcW w:w="1600" w:type="dxa"/>
            <w:shd w:val="clear" w:fill="F2EFE7"/>
          </w:tcPr>
          <w:p>
            <w:pPr>
              <w:spacing w:before="50" w:after="50"/>
            </w:pPr>
            <w:r>
              <w:rPr>
                <w:b/>
                <w:color w:val="263238"/>
                <w:sz w:val="19"/>
              </w:rPr>
              <w:t xml:space="preserve">Classification</w:t>
            </w:r>
          </w:p>
        </w:tc>
        <w:tc>
          <w:tcPr>
            <w:tcW w:w="2500" w:type="dxa"/>
            <w:shd w:val="clear" w:fill="F2EFE7"/>
          </w:tcPr>
          <w:p>
            <w:pPr>
              <w:spacing w:before="50" w:after="50"/>
            </w:pPr>
            <w:r>
              <w:rPr>
                <w:b/>
                <w:color w:val="263238"/>
                <w:sz w:val="19"/>
              </w:rPr>
              <w:t xml:space="preserve">Definition</w:t>
            </w:r>
          </w:p>
        </w:tc>
        <w:tc>
          <w:tcPr>
            <w:tcW w:w="3300" w:type="dxa"/>
            <w:shd w:val="clear" w:fill="F2EFE7"/>
          </w:tcPr>
          <w:p>
            <w:pPr>
              <w:spacing w:before="50" w:after="50"/>
            </w:pPr>
            <w:r>
              <w:rPr>
                <w:b/>
                <w:color w:val="263238"/>
                <w:sz w:val="19"/>
              </w:rPr>
              <w:t xml:space="preserve">Examples</w:t>
            </w:r>
          </w:p>
        </w:tc>
        <w:tc>
          <w:tcPr>
            <w:tcW w:w="2000" w:type="dxa"/>
            <w:shd w:val="clear" w:fill="F2EFE7"/>
          </w:tcPr>
          <w:p>
            <w:pPr>
              <w:spacing w:before="50" w:after="50"/>
            </w:pPr>
            <w:r>
              <w:rPr>
                <w:b/>
                <w:color w:val="263238"/>
                <w:sz w:val="19"/>
              </w:rPr>
              <w:t xml:space="preserve">Accessible To</w:t>
            </w:r>
          </w:p>
        </w:tc>
      </w:tr>
      <w:tr>
        <w:tc>
          <w:tcPr>
            <w:tcW w:w="1600" w:type="dxa"/>
          </w:tcPr>
          <w:p>
            <w:pPr>
              <w:spacing w:before="50" w:after="50"/>
            </w:pPr>
            <w:r>
              <w:rPr>
                <w:color w:val="546E7A"/>
                <w:sz w:val="19"/>
              </w:rPr>
              <w:t xml:space="preserve">Public</w:t>
            </w:r>
          </w:p>
        </w:tc>
        <w:tc>
          <w:tcPr>
            <w:tcW w:w="2500" w:type="dxa"/>
          </w:tcPr>
          <w:p>
            <w:pPr>
              <w:spacing w:before="50" w:after="50"/>
            </w:pPr>
            <w:r>
              <w:rPr>
                <w:color w:val="546E7A"/>
                <w:sz w:val="19"/>
              </w:rPr>
              <w:t xml:space="preserve">Safe to share outside the company</w:t>
            </w:r>
          </w:p>
        </w:tc>
        <w:tc>
          <w:tcPr>
            <w:tcW w:w="3300" w:type="dxa"/>
          </w:tcPr>
          <w:p>
            <w:pPr>
              <w:spacing w:before="50" w:after="50"/>
            </w:pPr>
            <w:r>
              <w:rPr>
                <w:color w:val="546E7A"/>
                <w:sz w:val="19"/>
              </w:rPr>
              <w:t xml:space="preserve">Marketing materials, published company profile</w:t>
            </w:r>
          </w:p>
        </w:tc>
        <w:tc>
          <w:tcPr>
            <w:tcW w:w="2000" w:type="dxa"/>
          </w:tcPr>
          <w:p>
            <w:pPr>
              <w:spacing w:before="50" w:after="50"/>
            </w:pPr>
            <w:r>
              <w:rPr>
                <w:color w:val="546E7A"/>
                <w:sz w:val="19"/>
              </w:rPr>
              <w:t xml:space="preserve">Everyone</w:t>
            </w:r>
          </w:p>
        </w:tc>
      </w:tr>
      <w:tr>
        <w:tc>
          <w:tcPr>
            <w:tcW w:w="1600" w:type="dxa"/>
          </w:tcPr>
          <w:p>
            <w:pPr>
              <w:spacing w:before="50" w:after="50"/>
            </w:pPr>
            <w:r>
              <w:rPr>
                <w:color w:val="546E7A"/>
                <w:sz w:val="19"/>
              </w:rPr>
              <w:t xml:space="preserve">Internal</w:t>
            </w:r>
          </w:p>
        </w:tc>
        <w:tc>
          <w:tcPr>
            <w:tcW w:w="2500" w:type="dxa"/>
          </w:tcPr>
          <w:p>
            <w:pPr>
              <w:spacing w:before="50" w:after="50"/>
            </w:pPr>
            <w:r>
              <w:rPr>
                <w:color w:val="546E7A"/>
                <w:sz w:val="19"/>
              </w:rPr>
              <w:t xml:space="preserve">Day-to-day working knowledge</w:t>
            </w:r>
          </w:p>
        </w:tc>
        <w:tc>
          <w:tcPr>
            <w:tcW w:w="3300" w:type="dxa"/>
          </w:tcPr>
          <w:p>
            <w:pPr>
              <w:spacing w:before="50" w:after="50"/>
            </w:pPr>
            <w:r>
              <w:rPr>
                <w:color w:val="546E7A"/>
                <w:sz w:val="19"/>
              </w:rPr>
              <w:t xml:space="preserve">General SOPs, product knowledge, org announcements</w:t>
            </w:r>
          </w:p>
        </w:tc>
        <w:tc>
          <w:tcPr>
            <w:tcW w:w="2000" w:type="dxa"/>
          </w:tcPr>
          <w:p>
            <w:pPr>
              <w:spacing w:before="50" w:after="50"/>
            </w:pPr>
            <w:r>
              <w:rPr>
                <w:color w:val="546E7A"/>
                <w:sz w:val="19"/>
              </w:rPr>
              <w:t xml:space="preserve">All staff + all agents</w:t>
            </w:r>
          </w:p>
        </w:tc>
      </w:tr>
      <w:tr>
        <w:tc>
          <w:tcPr>
            <w:tcW w:w="1600" w:type="dxa"/>
          </w:tcPr>
          <w:p>
            <w:pPr>
              <w:spacing w:before="50" w:after="50"/>
            </w:pPr>
            <w:r>
              <w:rPr>
                <w:color w:val="546E7A"/>
                <w:sz w:val="19"/>
              </w:rPr>
              <w:t xml:space="preserve">Confidential</w:t>
            </w:r>
          </w:p>
        </w:tc>
        <w:tc>
          <w:tcPr>
            <w:tcW w:w="2500" w:type="dxa"/>
          </w:tcPr>
          <w:p>
            <w:pPr>
              <w:spacing w:before="50" w:after="50"/>
            </w:pPr>
            <w:r>
              <w:rPr>
                <w:color w:val="546E7A"/>
                <w:sz w:val="19"/>
              </w:rPr>
              <w:t xml:space="preserve">Business-sensitive records</w:t>
            </w:r>
          </w:p>
        </w:tc>
        <w:tc>
          <w:tcPr>
            <w:tcW w:w="3300" w:type="dxa"/>
          </w:tcPr>
          <w:p>
            <w:pPr>
              <w:spacing w:before="50" w:after="50"/>
            </w:pPr>
            <w:r>
              <w:rPr>
                <w:color w:val="546E7A"/>
                <w:sz w:val="19"/>
              </w:rPr>
              <w:t xml:space="preserve">Pricing policies, customer history, supplier terms, quotations</w:t>
            </w:r>
          </w:p>
        </w:tc>
        <w:tc>
          <w:tcPr>
            <w:tcW w:w="2000" w:type="dxa"/>
          </w:tcPr>
          <w:p>
            <w:pPr>
              <w:spacing w:before="50" w:after="50"/>
            </w:pPr>
            <w:r>
              <w:rPr>
                <w:color w:val="546E7A"/>
                <w:sz w:val="19"/>
              </w:rPr>
              <w:t xml:space="preserve">Relevant role only</w:t>
            </w:r>
          </w:p>
        </w:tc>
      </w:tr>
      <w:tr>
        <w:tc>
          <w:tcPr>
            <w:tcW w:w="1600" w:type="dxa"/>
          </w:tcPr>
          <w:p>
            <w:pPr>
              <w:spacing w:before="50" w:after="50"/>
            </w:pPr>
            <w:r>
              <w:rPr>
                <w:color w:val="546E7A"/>
                <w:sz w:val="19"/>
              </w:rPr>
              <w:t xml:space="preserve">Restricted</w:t>
            </w:r>
          </w:p>
        </w:tc>
        <w:tc>
          <w:tcPr>
            <w:tcW w:w="2500" w:type="dxa"/>
          </w:tcPr>
          <w:p>
            <w:pPr>
              <w:spacing w:before="50" w:after="50"/>
            </w:pPr>
            <w:r>
              <w:rPr>
                <w:color w:val="546E7A"/>
                <w:sz w:val="19"/>
              </w:rPr>
              <w:t xml:space="preserve">Highest sensitivity</w:t>
            </w:r>
          </w:p>
        </w:tc>
        <w:tc>
          <w:tcPr>
            <w:tcW w:w="3300" w:type="dxa"/>
          </w:tcPr>
          <w:p>
            <w:pPr>
              <w:spacing w:before="50" w:after="50"/>
            </w:pPr>
            <w:r>
              <w:rPr>
                <w:color w:val="546E7A"/>
                <w:sz w:val="19"/>
              </w:rPr>
              <w:t xml:space="preserve">Payroll, accounting journals, bank details, security architecture</w:t>
            </w:r>
          </w:p>
        </w:tc>
        <w:tc>
          <w:tcPr>
            <w:tcW w:w="2000" w:type="dxa"/>
          </w:tcPr>
          <w:p>
            <w:pPr>
              <w:spacing w:before="50" w:after="50"/>
            </w:pPr>
            <w:r>
              <w:rPr>
                <w:color w:val="546E7A"/>
                <w:sz w:val="19"/>
              </w:rPr>
              <w:t xml:space="preserve">Named owners only</w:t>
            </w:r>
          </w:p>
        </w:tc>
      </w:tr>
    </w:tbl>
    <w:p>
      <w:pPr>
        <w:spacing w:after="120"/>
      </w:pPr>
    </w:p>
    <w:p>
      <w:pPr>
        <w:pStyle w:val="Heading1"/>
      </w:pPr>
      <w:r>
        <w:t>7. AI IT Operations Center (AIITOC)</w:t>
      </w:r>
      <w:bookmarkStart w:name="_Toc0008" w:id="8"/>
      <w:bookmarkEnd w:id="8"/>
    </w:p>
    <w:p>
      <w:pPr>
        <w:pStyle w:val="Heading2"/>
      </w:pPr>
      <w:r>
        <w:t>7.1 Mission &amp; Responsibilities</w:t>
      </w:r>
    </w:p>
    <w:p>
      <w:r>
        <w:t xml:space="preserve">The AIITOC is the IT department for the AI workforce — a formal core module of DOS Business OS. It does not sell, quote, or do accounting; it operates, monitors, coordinates, and improves all other agents. Its responsibilities:</w:t>
      </w:r>
    </w:p>
    <w:p>
      <w:pPr>
        <w:numPr>
          <w:ilvl w:val="0"/>
          <w:numId w:val="1"/>
        </w:numPr>
        <w:spacing w:after="80"/>
      </w:pPr>
      <w:r>
        <w:rPr>
          <w:b/>
          <w:color w:val="37474F"/>
        </w:rPr>
        <w:t xml:space="preserve">Orchestration — </w:t>
      </w:r>
      <w:r>
        <w:t xml:space="preserve">via the ATO engine: route requests, coordinate inter-agent communication, resolve workflow conflicts.</w:t>
      </w:r>
    </w:p>
    <w:p>
      <w:pPr>
        <w:numPr>
          <w:ilvl w:val="0"/>
          <w:numId w:val="1"/>
        </w:numPr>
        <w:spacing w:after="80"/>
      </w:pPr>
      <w:r>
        <w:rPr>
          <w:b/>
          <w:color w:val="37474F"/>
        </w:rPr>
        <w:t xml:space="preserve">Health monitoring — </w:t>
      </w:r>
      <w:r>
        <w:t xml:space="preserve">verify agents are online, track response times, detect failures, restart failed processes, alert the human IT team.</w:t>
      </w:r>
    </w:p>
    <w:p>
      <w:pPr>
        <w:numPr>
          <w:ilvl w:val="0"/>
          <w:numId w:val="1"/>
        </w:numPr>
        <w:spacing w:after="80"/>
      </w:pPr>
      <w:r>
        <w:rPr>
          <w:b/>
          <w:color w:val="37474F"/>
        </w:rPr>
        <w:t xml:space="preserve">Deployment &amp; version control — </w:t>
      </w:r>
      <w:r>
        <w:t xml:space="preserve">manage agent releases and prompt versions with full history.</w:t>
      </w:r>
    </w:p>
    <w:p>
      <w:pPr>
        <w:numPr>
          <w:ilvl w:val="0"/>
          <w:numId w:val="1"/>
        </w:numPr>
        <w:spacing w:after="80"/>
      </w:pPr>
      <w:r>
        <w:rPr>
          <w:b/>
          <w:color w:val="37474F"/>
        </w:rPr>
        <w:t xml:space="preserve">Business rule &amp; memory management — </w:t>
      </w:r>
      <w:r>
        <w:t xml:space="preserve">maintain the Master Knowledge Base under the Learning Governance pipeline (Section 10).</w:t>
      </w:r>
    </w:p>
    <w:p>
      <w:pPr>
        <w:numPr>
          <w:ilvl w:val="0"/>
          <w:numId w:val="1"/>
        </w:numPr>
        <w:spacing w:after="80"/>
      </w:pPr>
      <w:r>
        <w:rPr>
          <w:b/>
          <w:color w:val="37474F"/>
        </w:rPr>
        <w:t xml:space="preserve">Security coordination — </w:t>
      </w:r>
      <w:r>
        <w:t xml:space="preserve">run the AI Security layer (Section 5.2) with the cybersecurity tools (Section 5.1).</w:t>
      </w:r>
    </w:p>
    <w:p>
      <w:pPr>
        <w:numPr>
          <w:ilvl w:val="0"/>
          <w:numId w:val="1"/>
        </w:numPr>
        <w:spacing w:after="80"/>
      </w:pPr>
      <w:r>
        <w:rPr>
          <w:b/>
          <w:color w:val="37474F"/>
        </w:rPr>
        <w:t xml:space="preserve">Integration &amp; API monitoring — </w:t>
      </w:r>
      <w:r>
        <w:t xml:space="preserve">watch connections to external systems (including future CCTV/FDAS platform integrations).</w:t>
      </w:r>
    </w:p>
    <w:p>
      <w:pPr>
        <w:numPr>
          <w:ilvl w:val="0"/>
          <w:numId w:val="1"/>
        </w:numPr>
        <w:spacing w:after="80"/>
      </w:pPr>
      <w:r>
        <w:rPr>
          <w:b/>
          <w:color w:val="37474F"/>
        </w:rPr>
        <w:t xml:space="preserve">Performance optimization — </w:t>
      </w:r>
      <w:r>
        <w:t xml:space="preserve">track speed, accuracy, and cost per agent; recommend improvements.</w:t>
      </w:r>
    </w:p>
    <w:p>
      <w:pPr>
        <w:pStyle w:val="Heading2"/>
      </w:pPr>
      <w:r>
        <w:t>7.2 Access Control &amp; Intellectual Property Protection</w:t>
      </w:r>
    </w:p>
    <w:p>
      <w:pPr>
        <w:numPr>
          <w:ilvl w:val="0"/>
          <w:numId w:val="1"/>
        </w:numPr>
        <w:spacing w:after="80"/>
      </w:pPr>
      <w:r>
        <w:rPr>
          <w:b/>
          <w:color w:val="37474F"/>
        </w:rPr>
        <w:t xml:space="preserve">Server-side only — </w:t>
      </w:r>
      <w:r>
        <w:t xml:space="preserve">the entire platform (code, knowledge base, business rules) lives on AA2000's cloud server. Users receive logins, never copies; nothing resides on personal devices to be taken.</w:t>
      </w:r>
    </w:p>
    <w:p>
      <w:pPr>
        <w:numPr>
          <w:ilvl w:val="0"/>
          <w:numId w:val="1"/>
        </w:numPr>
        <w:spacing w:after="80"/>
      </w:pPr>
      <w:r>
        <w:rPr>
          <w:b/>
          <w:color w:val="37474F"/>
        </w:rPr>
        <w:t xml:space="preserve">Per-user IDs with MFA — </w:t>
      </w:r>
      <w:r>
        <w:t xml:space="preserve">every action is authenticated and written to the audit log: who accessed what, and when.</w:t>
      </w:r>
    </w:p>
    <w:p>
      <w:pPr>
        <w:numPr>
          <w:ilvl w:val="0"/>
          <w:numId w:val="1"/>
        </w:numPr>
        <w:spacing w:after="80"/>
      </w:pPr>
      <w:r>
        <w:rPr>
          <w:b/>
          <w:color w:val="37474F"/>
        </w:rPr>
        <w:t xml:space="preserve">Instant revocation — </w:t>
      </w:r>
      <w:r>
        <w:t xml:space="preserve">a departing employee's ID is disabled the same day; access ends immediately.</w:t>
      </w:r>
    </w:p>
    <w:p>
      <w:pPr>
        <w:numPr>
          <w:ilvl w:val="0"/>
          <w:numId w:val="1"/>
        </w:numPr>
        <w:spacing w:after="80"/>
      </w:pPr>
      <w:r>
        <w:rPr>
          <w:b/>
          <w:color w:val="37474F"/>
        </w:rPr>
        <w:t xml:space="preserve">Owner-held master keys — </w:t>
      </w:r>
      <w:r>
        <w:t xml:space="preserve">administrative keys are held by the owners under dual control (Director + one additional Director), never by a single employee. No key-person dependency.</w:t>
      </w:r>
    </w:p>
    <w:p>
      <w:pPr>
        <w:numPr>
          <w:ilvl w:val="0"/>
          <w:numId w:val="1"/>
        </w:numPr>
        <w:spacing w:after="80"/>
      </w:pPr>
      <w:r>
        <w:rPr>
          <w:b/>
          <w:color w:val="37474F"/>
        </w:rPr>
        <w:t xml:space="preserve">Legal layer — </w:t>
      </w:r>
      <w:r>
        <w:t xml:space="preserve">IP and confidentiality clauses in employment contracts; NDAs for OJTs and contractors.</w:t>
      </w:r>
    </w:p>
    <w:p>
      <w:r>
        <w:t xml:space="preserve">Note: the platform's true protection is its content, not its code. A competitor can imitate the idea, but cannot copy AA2000's accumulated pricing history, SOPs, supplier terms, and customer records. That data never leaves the server.</w:t>
      </w:r>
    </w:p>
    <w:p>
      <w:pPr>
        <w:pStyle w:val="Heading2"/>
      </w:pPr>
      <w:r>
        <w:t>7.3 Backup &amp; Disaster Recovery</w:t>
      </w:r>
    </w:p>
    <w:p>
      <w:r>
        <w:rPr>
          <w:b/>
          <w:color w:val="37474F"/>
        </w:rPr>
        <w:t xml:space="preserve">The 3-2-1 Rule.  </w:t>
      </w:r>
      <w:r>
        <w:t xml:space="preserve">Three copies of everything (live system plus two backups), in two different locations, with one offline or immutable copy that ransomware cannot encrypt.</w:t>
      </w:r>
    </w:p>
    <w:p>
      <w:r>
        <w:t xml:space="preserve">Backup priority order: (1) the Shared Business Memory — the irreplaceable asset; (2) AI configurations, prompts, and business rules; (3) user database and audit logs; (4) system settings and integrations.</w:t>
      </w:r>
    </w:p>
    <w:tbl>
      <w:tblPr>
        <w:tblW w:w="5000" w:type="pct"/>
        <w:tblBorders>
          <w:top w:val="single" w:color="263238" w:sz="10"/>
          <w:left w:val="nil"/>
          <w:bottom w:val="single" w:color="263238" w:sz="10"/>
          <w:right w:val="nil"/>
          <w:insideH w:val="single" w:color="D8D2C4" w:sz="4"/>
          <w:insideV w:val="nil"/>
        </w:tblBorders>
      </w:tblPr>
      <w:tblGrid>
        <w:gridCol w:w="3300"/>
        <w:gridCol w:w="3300"/>
        <w:gridCol w:w="2800"/>
      </w:tblGrid>
      <w:tr>
        <w:trPr>
          <w:tblHeader/>
        </w:trPr>
        <w:tc>
          <w:tcPr>
            <w:tcW w:w="3300" w:type="dxa"/>
            <w:shd w:val="clear" w:fill="F2EFE7"/>
          </w:tcPr>
          <w:p>
            <w:pPr>
              <w:spacing w:before="50" w:after="50"/>
            </w:pPr>
            <w:r>
              <w:rPr>
                <w:b/>
                <w:color w:val="263238"/>
                <w:sz w:val="19"/>
              </w:rPr>
              <w:t xml:space="preserve">Backup Type</w:t>
            </w:r>
          </w:p>
        </w:tc>
        <w:tc>
          <w:tcPr>
            <w:tcW w:w="3300" w:type="dxa"/>
            <w:shd w:val="clear" w:fill="F2EFE7"/>
          </w:tcPr>
          <w:p>
            <w:pPr>
              <w:spacing w:before="50" w:after="50"/>
            </w:pPr>
            <w:r>
              <w:rPr>
                <w:b/>
                <w:color w:val="263238"/>
                <w:sz w:val="19"/>
              </w:rPr>
              <w:t xml:space="preserve">Frequency</w:t>
            </w:r>
          </w:p>
        </w:tc>
        <w:tc>
          <w:tcPr>
            <w:tcW w:w="2800" w:type="dxa"/>
            <w:shd w:val="clear" w:fill="F2EFE7"/>
          </w:tcPr>
          <w:p>
            <w:pPr>
              <w:spacing w:before="50" w:after="50"/>
            </w:pPr>
            <w:r>
              <w:rPr>
                <w:b/>
                <w:color w:val="263238"/>
                <w:sz w:val="19"/>
              </w:rPr>
              <w:t xml:space="preserve">Retained For</w:t>
            </w:r>
          </w:p>
        </w:tc>
      </w:tr>
      <w:tr>
        <w:tc>
          <w:tcPr>
            <w:tcW w:w="3300" w:type="dxa"/>
          </w:tcPr>
          <w:p>
            <w:pPr>
              <w:spacing w:before="50" w:after="50"/>
            </w:pPr>
            <w:r>
              <w:rPr>
                <w:color w:val="546E7A"/>
                <w:sz w:val="19"/>
              </w:rPr>
              <w:t xml:space="preserve">Incremental (changes only)</w:t>
            </w:r>
          </w:p>
        </w:tc>
        <w:tc>
          <w:tcPr>
            <w:tcW w:w="3300" w:type="dxa"/>
          </w:tcPr>
          <w:p>
            <w:pPr>
              <w:spacing w:before="50" w:after="50"/>
            </w:pPr>
            <w:r>
              <w:rPr>
                <w:color w:val="546E7A"/>
                <w:sz w:val="19"/>
              </w:rPr>
              <w:t xml:space="preserve">Daily, off-hours, fully automated</w:t>
            </w:r>
          </w:p>
        </w:tc>
        <w:tc>
          <w:tcPr>
            <w:tcW w:w="2800" w:type="dxa"/>
          </w:tcPr>
          <w:p>
            <w:pPr>
              <w:spacing w:before="50" w:after="50"/>
            </w:pPr>
            <w:r>
              <w:rPr>
                <w:color w:val="546E7A"/>
                <w:sz w:val="19"/>
              </w:rPr>
              <w:t xml:space="preserve">30 days</w:t>
            </w:r>
          </w:p>
        </w:tc>
      </w:tr>
      <w:tr>
        <w:tc>
          <w:tcPr>
            <w:tcW w:w="3300" w:type="dxa"/>
          </w:tcPr>
          <w:p>
            <w:pPr>
              <w:spacing w:before="50" w:after="50"/>
            </w:pPr>
            <w:r>
              <w:rPr>
                <w:color w:val="546E7A"/>
                <w:sz w:val="19"/>
              </w:rPr>
              <w:t xml:space="preserve">Full backup</w:t>
            </w:r>
          </w:p>
        </w:tc>
        <w:tc>
          <w:tcPr>
            <w:tcW w:w="3300" w:type="dxa"/>
          </w:tcPr>
          <w:p>
            <w:pPr>
              <w:spacing w:before="50" w:after="50"/>
            </w:pPr>
            <w:r>
              <w:rPr>
                <w:color w:val="546E7A"/>
                <w:sz w:val="19"/>
              </w:rPr>
              <w:t xml:space="preserve">Weekly, fully automated</w:t>
            </w:r>
          </w:p>
        </w:tc>
        <w:tc>
          <w:tcPr>
            <w:tcW w:w="2800" w:type="dxa"/>
          </w:tcPr>
          <w:p>
            <w:pPr>
              <w:spacing w:before="50" w:after="50"/>
            </w:pPr>
            <w:r>
              <w:rPr>
                <w:color w:val="546E7A"/>
                <w:sz w:val="19"/>
              </w:rPr>
              <w:t xml:space="preserve">12 weeks</w:t>
            </w:r>
          </w:p>
        </w:tc>
      </w:tr>
      <w:tr>
        <w:tc>
          <w:tcPr>
            <w:tcW w:w="3300" w:type="dxa"/>
          </w:tcPr>
          <w:p>
            <w:pPr>
              <w:spacing w:before="50" w:after="50"/>
            </w:pPr>
            <w:r>
              <w:rPr>
                <w:color w:val="546E7A"/>
                <w:sz w:val="19"/>
              </w:rPr>
              <w:t xml:space="preserve">Archive</w:t>
            </w:r>
          </w:p>
        </w:tc>
        <w:tc>
          <w:tcPr>
            <w:tcW w:w="3300" w:type="dxa"/>
          </w:tcPr>
          <w:p>
            <w:pPr>
              <w:spacing w:before="50" w:after="50"/>
            </w:pPr>
            <w:r>
              <w:rPr>
                <w:color w:val="546E7A"/>
                <w:sz w:val="19"/>
              </w:rPr>
              <w:t xml:space="preserve">Monthly</w:t>
            </w:r>
          </w:p>
        </w:tc>
        <w:tc>
          <w:tcPr>
            <w:tcW w:w="2800" w:type="dxa"/>
          </w:tcPr>
          <w:p>
            <w:pPr>
              <w:spacing w:before="50" w:after="50"/>
            </w:pPr>
            <w:r>
              <w:rPr>
                <w:color w:val="546E7A"/>
                <w:sz w:val="19"/>
              </w:rPr>
              <w:t xml:space="preserve">12 months</w:t>
            </w:r>
          </w:p>
        </w:tc>
      </w:tr>
      <w:tr>
        <w:tc>
          <w:tcPr>
            <w:tcW w:w="3300" w:type="dxa"/>
          </w:tcPr>
          <w:p>
            <w:pPr>
              <w:spacing w:before="50" w:after="50"/>
            </w:pPr>
            <w:r>
              <w:rPr>
                <w:color w:val="546E7A"/>
                <w:sz w:val="19"/>
              </w:rPr>
              <w:t xml:space="preserve">Offline encrypted copy</w:t>
            </w:r>
          </w:p>
        </w:tc>
        <w:tc>
          <w:tcPr>
            <w:tcW w:w="3300" w:type="dxa"/>
          </w:tcPr>
          <w:p>
            <w:pPr>
              <w:spacing w:before="50" w:after="50"/>
            </w:pPr>
            <w:r>
              <w:rPr>
                <w:color w:val="546E7A"/>
                <w:sz w:val="19"/>
              </w:rPr>
              <w:t xml:space="preserve">Monthly, stored securely offsite</w:t>
            </w:r>
          </w:p>
        </w:tc>
        <w:tc>
          <w:tcPr>
            <w:tcW w:w="2800" w:type="dxa"/>
          </w:tcPr>
          <w:p>
            <w:pPr>
              <w:spacing w:before="50" w:after="50"/>
            </w:pPr>
            <w:r>
              <w:rPr>
                <w:color w:val="546E7A"/>
                <w:sz w:val="19"/>
              </w:rPr>
              <w:t xml:space="preserve">Current + previous</w:t>
            </w:r>
          </w:p>
        </w:tc>
      </w:tr>
    </w:tbl>
    <w:p>
      <w:pPr>
        <w:spacing w:after="120"/>
      </w:pPr>
    </w:p>
    <w:p>
      <w:pPr>
        <w:numPr>
          <w:ilvl w:val="0"/>
          <w:numId w:val="1"/>
        </w:numPr>
        <w:spacing w:after="80"/>
      </w:pPr>
      <w:r>
        <w:rPr>
          <w:b/>
          <w:color w:val="37474F"/>
        </w:rPr>
        <w:t xml:space="preserve">Backup monitoring — </w:t>
      </w:r>
      <w:r>
        <w:t xml:space="preserve">the AIITOC verifies that every scheduled backup actually ran and alerts on any failure. A silently failing backup is treated as a High-risk event.</w:t>
      </w:r>
    </w:p>
    <w:p>
      <w:pPr>
        <w:numPr>
          <w:ilvl w:val="0"/>
          <w:numId w:val="1"/>
        </w:numPr>
        <w:spacing w:after="80"/>
      </w:pPr>
      <w:r>
        <w:rPr>
          <w:b/>
          <w:color w:val="37474F"/>
        </w:rPr>
        <w:t xml:space="preserve">Quarterly restore drill — </w:t>
      </w:r>
      <w:r>
        <w:t xml:space="preserve">every three months, restore to a test environment and verify the data opens. An untested backup is a hope, not a backup.</w:t>
      </w:r>
    </w:p>
    <w:p>
      <w:pPr>
        <w:numPr>
          <w:ilvl w:val="0"/>
          <w:numId w:val="1"/>
        </w:numPr>
        <w:spacing w:after="80"/>
      </w:pPr>
      <w:r>
        <w:rPr>
          <w:b/>
          <w:color w:val="37474F"/>
        </w:rPr>
        <w:t xml:space="preserve">Restore rights — </w:t>
      </w:r>
      <w:r>
        <w:t xml:space="preserve">only the owners (Director + one additional Director) may trigger a restore.</w:t>
      </w:r>
    </w:p>
    <w:p>
      <w:pPr>
        <w:pStyle w:val="Heading2"/>
      </w:pPr>
      <w:r>
        <w:t>7.4 Manual Fallback Procedure</w:t>
      </w:r>
    </w:p>
    <w:p>
      <w:r>
        <w:t xml:space="preserve">If the ATO or the platform is unavailable, the business does not stop:</w:t>
      </w:r>
    </w:p>
    <w:p>
      <w:pPr>
        <w:spacing w:after="80"/>
        <w:ind w:left="460" w:hanging="300"/>
      </w:pPr>
      <w:r>
        <w:rPr>
          <w:b/>
          <w:color w:val="B8860B"/>
        </w:rPr>
        <w:t>1.  </w:t>
      </w:r>
      <w:r>
        <w:t xml:space="preserve">All inbound leads and requests route to a designated monitored inbox.</w:t>
      </w:r>
    </w:p>
    <w:p>
      <w:pPr>
        <w:spacing w:after="80"/>
        <w:ind w:left="460" w:hanging="300"/>
      </w:pPr>
      <w:r>
        <w:rPr>
          <w:b/>
          <w:color w:val="B8860B"/>
        </w:rPr>
        <w:t>2.  </w:t>
      </w:r>
      <w:r>
        <w:t xml:space="preserve">Business Development processes them manually using the SOP documents (kept accessible offline).</w:t>
      </w:r>
    </w:p>
    <w:p>
      <w:pPr>
        <w:spacing w:after="80"/>
        <w:ind w:left="460" w:hanging="300"/>
      </w:pPr>
      <w:r>
        <w:rPr>
          <w:b/>
          <w:color w:val="B8860B"/>
        </w:rPr>
        <w:t>3.  </w:t>
      </w:r>
      <w:r>
        <w:t xml:space="preserve">IT Team works to restore service; owners are updated hourly until resolution.</w:t>
      </w:r>
    </w:p>
    <w:p>
      <w:pPr>
        <w:spacing w:after="80"/>
        <w:ind w:left="460" w:hanging="300"/>
      </w:pPr>
      <w:r>
        <w:rPr>
          <w:b/>
          <w:color w:val="B8860B"/>
        </w:rPr>
        <w:t>4.  </w:t>
      </w:r>
      <w:r>
        <w:t xml:space="preserve">After recovery, manually processed records are entered into the system and the incident is logged with a post-mortem.</w:t>
      </w:r>
    </w:p>
    <w:p>
      <w:pPr>
        <w:pStyle w:val="Heading1"/>
      </w:pPr>
      <w:r>
        <w:t>8. Decision Governance — The Four Levels</w:t>
      </w:r>
      <w:bookmarkStart w:name="_Toc0009" w:id="9"/>
      <w:bookmarkEnd w:id="9"/>
    </w:p>
    <w:p>
      <w:r>
        <w:t xml:space="preserve">Not all decisions are equal. Every AI recommendation is classified into one of four levels. The rule every developer and every agent understands: the higher the business impact, the higher the required approval. This prevents automation creep — the gradual drift of AI into decisions it was never granted.</w:t>
      </w:r>
    </w:p>
    <w:p>
      <w:pPr>
        <w:pStyle w:val="Heading2"/>
      </w:pPr>
      <w:r>
        <w:t>8.1 Decision Levels</w:t>
      </w:r>
    </w:p>
    <w:tbl>
      <w:tblPr>
        <w:tblW w:w="5000" w:type="pct"/>
        <w:tblBorders>
          <w:top w:val="single" w:color="263238" w:sz="10"/>
          <w:left w:val="nil"/>
          <w:bottom w:val="single" w:color="263238" w:sz="10"/>
          <w:right w:val="nil"/>
          <w:insideH w:val="single" w:color="D8D2C4" w:sz="4"/>
          <w:insideV w:val="nil"/>
        </w:tblBorders>
      </w:tblPr>
      <w:tblGrid>
        <w:gridCol w:w="700"/>
        <w:gridCol w:w="2300"/>
        <w:gridCol w:w="4100"/>
        <w:gridCol w:w="1900"/>
      </w:tblGrid>
      <w:tr>
        <w:trPr>
          <w:tblHeader/>
        </w:trPr>
        <w:tc>
          <w:tcPr>
            <w:tcW w:w="700" w:type="dxa"/>
            <w:shd w:val="clear" w:fill="F2EFE7"/>
          </w:tcPr>
          <w:p>
            <w:pPr>
              <w:spacing w:before="50" w:after="50"/>
            </w:pPr>
            <w:r>
              <w:rPr>
                <w:b/>
                <w:color w:val="263238"/>
                <w:sz w:val="19"/>
              </w:rPr>
              <w:t xml:space="preserve">Level</w:t>
            </w:r>
          </w:p>
        </w:tc>
        <w:tc>
          <w:tcPr>
            <w:tcW w:w="2300" w:type="dxa"/>
            <w:shd w:val="clear" w:fill="F2EFE7"/>
          </w:tcPr>
          <w:p>
            <w:pPr>
              <w:spacing w:before="50" w:after="50"/>
            </w:pPr>
            <w:r>
              <w:rPr>
                <w:b/>
                <w:color w:val="263238"/>
                <w:sz w:val="19"/>
              </w:rPr>
              <w:t xml:space="preserve">Name</w:t>
            </w:r>
          </w:p>
        </w:tc>
        <w:tc>
          <w:tcPr>
            <w:tcW w:w="4100" w:type="dxa"/>
            <w:shd w:val="clear" w:fill="F2EFE7"/>
          </w:tcPr>
          <w:p>
            <w:pPr>
              <w:spacing w:before="50" w:after="50"/>
            </w:pPr>
            <w:r>
              <w:rPr>
                <w:b/>
                <w:color w:val="263238"/>
                <w:sz w:val="19"/>
              </w:rPr>
              <w:t xml:space="preserve">Examples</w:t>
            </w:r>
          </w:p>
        </w:tc>
        <w:tc>
          <w:tcPr>
            <w:tcW w:w="1900" w:type="dxa"/>
            <w:shd w:val="clear" w:fill="F2EFE7"/>
          </w:tcPr>
          <w:p>
            <w:pPr>
              <w:spacing w:before="50" w:after="50"/>
            </w:pPr>
            <w:r>
              <w:rPr>
                <w:b/>
                <w:color w:val="263238"/>
                <w:sz w:val="19"/>
              </w:rPr>
              <w:t xml:space="preserve">Approval</w:t>
            </w:r>
          </w:p>
        </w:tc>
      </w:tr>
      <w:tr>
        <w:tc>
          <w:tcPr>
            <w:tcW w:w="700" w:type="dxa"/>
          </w:tcPr>
          <w:p>
            <w:pPr>
              <w:spacing w:before="50" w:after="50"/>
            </w:pPr>
            <w:r>
              <w:rPr>
                <w:color w:val="546E7A"/>
                <w:sz w:val="19"/>
              </w:rPr>
              <w:t xml:space="preserve">1</w:t>
            </w:r>
          </w:p>
        </w:tc>
        <w:tc>
          <w:tcPr>
            <w:tcW w:w="2300" w:type="dxa"/>
          </w:tcPr>
          <w:p>
            <w:pPr>
              <w:spacing w:before="50" w:after="50"/>
            </w:pPr>
            <w:r>
              <w:rPr>
                <w:color w:val="546E7A"/>
                <w:sz w:val="19"/>
              </w:rPr>
              <w:t xml:space="preserve">AI Executes Automatically</w:t>
            </w:r>
          </w:p>
        </w:tc>
        <w:tc>
          <w:tcPr>
            <w:tcW w:w="4100" w:type="dxa"/>
          </w:tcPr>
          <w:p>
            <w:pPr>
              <w:spacing w:before="50" w:after="50"/>
            </w:pPr>
            <w:r>
              <w:rPr>
                <w:color w:val="546E7A"/>
                <w:sz w:val="19"/>
              </w:rPr>
              <w:t xml:space="preserve">Reminders, reports, dashboard updates, follow-up tasks, meeting scheduling</w:t>
            </w:r>
          </w:p>
        </w:tc>
        <w:tc>
          <w:tcPr>
            <w:tcW w:w="1900" w:type="dxa"/>
          </w:tcPr>
          <w:p>
            <w:pPr>
              <w:spacing w:before="50" w:after="50"/>
            </w:pPr>
            <w:r>
              <w:rPr>
                <w:color w:val="546E7A"/>
                <w:sz w:val="19"/>
              </w:rPr>
              <w:t xml:space="preserve">None — but always logged</w:t>
            </w:r>
          </w:p>
        </w:tc>
      </w:tr>
      <w:tr>
        <w:tc>
          <w:tcPr>
            <w:tcW w:w="700" w:type="dxa"/>
          </w:tcPr>
          <w:p>
            <w:pPr>
              <w:spacing w:before="50" w:after="50"/>
            </w:pPr>
            <w:r>
              <w:rPr>
                <w:color w:val="546E7A"/>
                <w:sz w:val="19"/>
              </w:rPr>
              <w:t xml:space="preserve">2</w:t>
            </w:r>
          </w:p>
        </w:tc>
        <w:tc>
          <w:tcPr>
            <w:tcW w:w="2300" w:type="dxa"/>
          </w:tcPr>
          <w:p>
            <w:pPr>
              <w:spacing w:before="50" w:after="50"/>
            </w:pPr>
            <w:r>
              <w:rPr>
                <w:color w:val="546E7A"/>
                <w:sz w:val="19"/>
              </w:rPr>
              <w:t xml:space="preserve">AI Recommends, Manager Approves</w:t>
            </w:r>
          </w:p>
        </w:tc>
        <w:tc>
          <w:tcPr>
            <w:tcW w:w="4100" w:type="dxa"/>
          </w:tcPr>
          <w:p>
            <w:pPr>
              <w:spacing w:before="50" w:after="50"/>
            </w:pPr>
            <w:r>
              <w:rPr>
                <w:color w:val="546E7A"/>
                <w:sz w:val="19"/>
              </w:rPr>
              <w:t xml:space="preserve">Campaign launch, purchase within budget, discount within policy, inventory reorder, supplier evaluation</w:t>
            </w:r>
          </w:p>
        </w:tc>
        <w:tc>
          <w:tcPr>
            <w:tcW w:w="1900" w:type="dxa"/>
          </w:tcPr>
          <w:p>
            <w:pPr>
              <w:spacing w:before="50" w:after="50"/>
            </w:pPr>
            <w:r>
              <w:rPr>
                <w:color w:val="546E7A"/>
                <w:sz w:val="19"/>
              </w:rPr>
              <w:t xml:space="preserve">Assigned manager</w:t>
            </w:r>
          </w:p>
        </w:tc>
      </w:tr>
      <w:tr>
        <w:tc>
          <w:tcPr>
            <w:tcW w:w="700" w:type="dxa"/>
          </w:tcPr>
          <w:p>
            <w:pPr>
              <w:spacing w:before="50" w:after="50"/>
            </w:pPr>
            <w:r>
              <w:rPr>
                <w:color w:val="546E7A"/>
                <w:sz w:val="19"/>
              </w:rPr>
              <w:t xml:space="preserve">3</w:t>
            </w:r>
          </w:p>
        </w:tc>
        <w:tc>
          <w:tcPr>
            <w:tcW w:w="2300" w:type="dxa"/>
          </w:tcPr>
          <w:p>
            <w:pPr>
              <w:spacing w:before="50" w:after="50"/>
            </w:pPr>
            <w:r>
              <w:rPr>
                <w:color w:val="546E7A"/>
                <w:sz w:val="19"/>
              </w:rPr>
              <w:t xml:space="preserve">Executive Approval Required</w:t>
            </w:r>
          </w:p>
        </w:tc>
        <w:tc>
          <w:tcPr>
            <w:tcW w:w="4100" w:type="dxa"/>
          </w:tcPr>
          <w:p>
            <w:pPr>
              <w:spacing w:before="50" w:after="50"/>
            </w:pPr>
            <w:r>
              <w:rPr>
                <w:color w:val="546E7A"/>
                <w:sz w:val="19"/>
              </w:rPr>
              <w:t xml:space="preserve">New company policy, CapEx, hiring, credit limit increase, major pricing changes, business rule modifications</w:t>
            </w:r>
          </w:p>
        </w:tc>
        <w:tc>
          <w:tcPr>
            <w:tcW w:w="1900" w:type="dxa"/>
          </w:tcPr>
          <w:p>
            <w:pPr>
              <w:spacing w:before="50" w:after="50"/>
            </w:pPr>
            <w:r>
              <w:rPr>
                <w:color w:val="546E7A"/>
                <w:sz w:val="19"/>
              </w:rPr>
              <w:t xml:space="preserve">Authorized executive</w:t>
            </w:r>
          </w:p>
        </w:tc>
      </w:tr>
      <w:tr>
        <w:tc>
          <w:tcPr>
            <w:tcW w:w="700" w:type="dxa"/>
          </w:tcPr>
          <w:p>
            <w:pPr>
              <w:spacing w:before="50" w:after="50"/>
            </w:pPr>
            <w:r>
              <w:rPr>
                <w:color w:val="546E7A"/>
                <w:sz w:val="19"/>
              </w:rPr>
              <w:t xml:space="preserve">4</w:t>
            </w:r>
          </w:p>
        </w:tc>
        <w:tc>
          <w:tcPr>
            <w:tcW w:w="2300" w:type="dxa"/>
          </w:tcPr>
          <w:p>
            <w:pPr>
              <w:spacing w:before="50" w:after="50"/>
            </w:pPr>
            <w:r>
              <w:rPr>
                <w:color w:val="546E7A"/>
                <w:sz w:val="19"/>
              </w:rPr>
              <w:t xml:space="preserve">Owner Decision</w:t>
            </w:r>
          </w:p>
        </w:tc>
        <w:tc>
          <w:tcPr>
            <w:tcW w:w="4100" w:type="dxa"/>
          </w:tcPr>
          <w:p>
            <w:pPr>
              <w:spacing w:before="50" w:after="50"/>
            </w:pPr>
            <w:r>
              <w:rPr>
                <w:color w:val="546E7A"/>
                <w:sz w:val="19"/>
              </w:rPr>
              <w:t xml:space="preserve">Strategy, org structure, AI governance rules, security architecture, master pricing policy, new product lines, acquisitions, changes to AI behavior itself</w:t>
            </w:r>
          </w:p>
        </w:tc>
        <w:tc>
          <w:tcPr>
            <w:tcW w:w="1900" w:type="dxa"/>
          </w:tcPr>
          <w:p>
            <w:pPr>
              <w:spacing w:before="50" w:after="50"/>
            </w:pPr>
            <w:r>
              <w:rPr>
                <w:color w:val="546E7A"/>
                <w:sz w:val="19"/>
              </w:rPr>
              <w:t xml:space="preserve">Designated owners only</w:t>
            </w:r>
          </w:p>
        </w:tc>
      </w:tr>
    </w:tbl>
    <w:p>
      <w:pPr>
        <w:spacing w:after="120"/>
      </w:pPr>
    </w:p>
    <w:p>
      <w:pPr>
        <w:pStyle w:val="Heading2"/>
      </w:pPr>
      <w:r>
        <w:t>8.2 Standing Rules</w:t>
      </w:r>
    </w:p>
    <w:p>
      <w:pPr>
        <w:numPr>
          <w:ilvl w:val="0"/>
          <w:numId w:val="1"/>
        </w:numPr>
        <w:spacing w:after="80"/>
      </w:pPr>
      <w:r>
        <w:rPr>
          <w:b/>
          <w:color w:val="37474F"/>
        </w:rPr>
        <w:t xml:space="preserve">Fail-safe default — </w:t>
      </w:r>
      <w:r>
        <w:t xml:space="preserve">any decision without an explicit classification is never executed automatically; it escalates upward to Level 2 or 3. Automation must be granted, never assumed.</w:t>
      </w:r>
    </w:p>
    <w:p>
      <w:pPr>
        <w:numPr>
          <w:ilvl w:val="0"/>
          <w:numId w:val="1"/>
        </w:numPr>
        <w:spacing w:after="80"/>
      </w:pPr>
      <w:r>
        <w:rPr>
          <w:b/>
          <w:color w:val="37474F"/>
        </w:rPr>
        <w:t xml:space="preserve">Level 1 is still logged — </w:t>
      </w:r>
      <w:r>
        <w:t xml:space="preserve">no approval required does not mean invisible. Every automatic action is written to the audit log with full traceability.</w:t>
      </w:r>
    </w:p>
    <w:p>
      <w:pPr>
        <w:numPr>
          <w:ilvl w:val="0"/>
          <w:numId w:val="1"/>
        </w:numPr>
        <w:spacing w:after="80"/>
      </w:pPr>
      <w:r>
        <w:rPr>
          <w:b/>
          <w:color w:val="37474F"/>
        </w:rPr>
        <w:t xml:space="preserve">Thresholds live in the modules — </w:t>
      </w:r>
      <w:r>
        <w:t xml:space="preserve">this framework defines the four levels; each module's blueprint defines its own numeric thresholds (e.g., a purchase above a set peso amount moves from Level 2 to Level 3).</w:t>
      </w:r>
    </w:p>
    <w:p>
      <w:pPr>
        <w:numPr>
          <w:ilvl w:val="0"/>
          <w:numId w:val="1"/>
        </w:numPr>
        <w:spacing w:after="80"/>
      </w:pPr>
      <w:r>
        <w:rPr>
          <w:b/>
          <w:color w:val="37474F"/>
        </w:rPr>
        <w:t xml:space="preserve">Emergency override — </w:t>
      </w:r>
      <w:r>
        <w:t xml:space="preserve">an owner may override any level in an emergency. The override is always logged and reviewed afterward.</w:t>
      </w:r>
    </w:p>
    <w:p>
      <w:pPr>
        <w:pStyle w:val="Heading1"/>
      </w:pPr>
      <w:r>
        <w:t>9. Change Governance</w:t>
      </w:r>
      <w:bookmarkStart w:name="_Toc0010" w:id="10"/>
      <w:bookmarkEnd w:id="10"/>
    </w:p>
    <w:p>
      <w:r>
        <w:t xml:space="preserve">No one — including an owner — changes the system by simply instructing it. When anyone says “change the approval policy,” the AI never executes immediately. It creates a Proposed Change record and routes it for approval.</w:t>
      </w:r>
    </w:p>
    <w:p>
      <w:pPr>
        <w:pStyle w:val="Heading2"/>
      </w:pPr>
      <w:r>
        <w:t>9.1 The Proposed Change Record</w:t>
      </w:r>
    </w:p>
    <w:p>
      <w:pPr>
        <w:numPr>
          <w:ilvl w:val="0"/>
          <w:numId w:val="1"/>
        </w:numPr>
        <w:spacing w:after="80"/>
      </w:pPr>
      <w:r>
        <w:t xml:space="preserve">Requested by (name and role)</w:t>
      </w:r>
    </w:p>
    <w:p>
      <w:pPr>
        <w:numPr>
          <w:ilvl w:val="0"/>
          <w:numId w:val="1"/>
        </w:numPr>
        <w:spacing w:after="80"/>
      </w:pPr>
      <w:r>
        <w:t xml:space="preserve">Date and reason for the change</w:t>
      </w:r>
    </w:p>
    <w:p>
      <w:pPr>
        <w:numPr>
          <w:ilvl w:val="0"/>
          <w:numId w:val="1"/>
        </w:numPr>
        <w:spacing w:after="80"/>
      </w:pPr>
      <w:r>
        <w:t xml:space="preserve">Business impact assessment</w:t>
      </w:r>
    </w:p>
    <w:p>
      <w:pPr>
        <w:numPr>
          <w:ilvl w:val="0"/>
          <w:numId w:val="1"/>
        </w:numPr>
        <w:spacing w:after="80"/>
      </w:pPr>
      <w:r>
        <w:t xml:space="preserve">Affected modules and workflows</w:t>
      </w:r>
    </w:p>
    <w:p>
      <w:pPr>
        <w:numPr>
          <w:ilvl w:val="0"/>
          <w:numId w:val="1"/>
        </w:numPr>
        <w:spacing w:after="80"/>
      </w:pPr>
      <w:r>
        <w:t xml:space="preserve">Risk assessment</w:t>
      </w:r>
    </w:p>
    <w:p>
      <w:pPr>
        <w:numPr>
          <w:ilvl w:val="0"/>
          <w:numId w:val="1"/>
        </w:numPr>
        <w:spacing w:after="80"/>
      </w:pPr>
      <w:r>
        <w:t xml:space="preserve">Recommended approver</w:t>
      </w:r>
    </w:p>
    <w:p>
      <w:pPr>
        <w:pStyle w:val="Heading2"/>
      </w:pPr>
      <w:r>
        <w:t>9.2 Approval Authority</w:t>
      </w:r>
    </w:p>
    <w:p>
      <w:pPr>
        <w:numPr>
          <w:ilvl w:val="0"/>
          <w:numId w:val="1"/>
        </w:numPr>
        <w:spacing w:after="80"/>
      </w:pPr>
      <w:r>
        <w:rPr>
          <w:b/>
          <w:color w:val="37474F"/>
        </w:rPr>
        <w:t xml:space="preserve">Minor changes — </w:t>
      </w:r>
      <w:r>
        <w:t xml:space="preserve">wording, non-financial rules, cosmetic workflow adjustments: one Director approves.</w:t>
      </w:r>
    </w:p>
    <w:p>
      <w:pPr>
        <w:numPr>
          <w:ilvl w:val="0"/>
          <w:numId w:val="1"/>
        </w:numPr>
        <w:spacing w:after="80"/>
      </w:pPr>
      <w:r>
        <w:rPr>
          <w:b/>
          <w:color w:val="37474F"/>
        </w:rPr>
        <w:t xml:space="preserve">Major changes — </w:t>
      </w:r>
      <w:r>
        <w:t xml:space="preserve">anything touching payments, credit, pricing, approval authority, or AI behavior itself: owner approval only.</w:t>
      </w:r>
    </w:p>
    <w:p>
      <w:r>
        <w:t xml:space="preserve">Only after approval does the AIITOC implement the change. Every change is logged and reflected in the version history — a complete audit trail of how the platform evolved.</w:t>
      </w:r>
    </w:p>
    <w:p>
      <w:pPr>
        <w:pStyle w:val="Heading1"/>
      </w:pPr>
      <w:r>
        <w:t>10. AI Learning Governance</w:t>
      </w:r>
      <w:bookmarkStart w:name="_Toc0011" w:id="11"/>
      <w:bookmarkEnd w:id="11"/>
    </w:p>
    <w:p>
      <w:r>
        <w:t xml:space="preserve">When management says “this is a new business rule,” the instruction follows a controlled pipeline before it becomes platform knowledge. This prevents duplicate rules, contradictions, and informal drift.</w:t>
      </w:r>
    </w:p>
    <w:p>
      <w:pPr>
        <w:pStyle w:val="Heading2"/>
      </w:pPr>
      <w:r>
        <w:t>10.1 The Seven-Step Rule Pipeline</w:t>
      </w:r>
    </w:p>
    <w:p>
      <w:pPr>
        <w:spacing w:after="80"/>
        <w:ind w:left="460" w:hanging="300"/>
      </w:pPr>
      <w:r>
        <w:rPr>
          <w:b/>
          <w:color w:val="B8860B"/>
        </w:rPr>
        <w:t>1.  </w:t>
      </w:r>
      <w:r>
        <w:t xml:space="preserve">Record the instruction verbatim, with source, date, and context.</w:t>
      </w:r>
    </w:p>
    <w:p>
      <w:pPr>
        <w:spacing w:after="80"/>
        <w:ind w:left="460" w:hanging="300"/>
      </w:pPr>
      <w:r>
        <w:rPr>
          <w:b/>
          <w:color w:val="B8860B"/>
        </w:rPr>
        <w:t>2.  </w:t>
      </w:r>
      <w:r>
        <w:t xml:space="preserve">Convert it into a structured business rule (condition → action → owner).</w:t>
      </w:r>
    </w:p>
    <w:p>
      <w:pPr>
        <w:spacing w:after="80"/>
        <w:ind w:left="460" w:hanging="300"/>
      </w:pPr>
      <w:r>
        <w:rPr>
          <w:b/>
          <w:color w:val="B8860B"/>
        </w:rPr>
        <w:t>3.  </w:t>
      </w:r>
      <w:r>
        <w:t xml:space="preserve">Check for duplicates and conflicts against existing rules (AI-assisted comparison).</w:t>
      </w:r>
    </w:p>
    <w:p>
      <w:pPr>
        <w:spacing w:after="80"/>
        <w:ind w:left="460" w:hanging="300"/>
      </w:pPr>
      <w:r>
        <w:rPr>
          <w:b/>
          <w:color w:val="B8860B"/>
        </w:rPr>
        <w:t>4.  </w:t>
      </w:r>
      <w:r>
        <w:t xml:space="preserve">Classify the result: New, Enhanced, or Already Exists.</w:t>
      </w:r>
    </w:p>
    <w:p>
      <w:pPr>
        <w:spacing w:after="80"/>
        <w:ind w:left="460" w:hanging="300"/>
      </w:pPr>
      <w:r>
        <w:rPr>
          <w:b/>
          <w:color w:val="B8860B"/>
        </w:rPr>
        <w:t>5.  </w:t>
      </w:r>
      <w:r>
        <w:t xml:space="preserve">Submit to the AIITOC Change Queue with a recommended approver.</w:t>
      </w:r>
    </w:p>
    <w:p>
      <w:pPr>
        <w:spacing w:after="80"/>
        <w:ind w:left="460" w:hanging="300"/>
      </w:pPr>
      <w:r>
        <w:rPr>
          <w:b/>
          <w:color w:val="B8860B"/>
        </w:rPr>
        <w:t>6.  </w:t>
      </w:r>
      <w:r>
        <w:t xml:space="preserve">After human approval, update the Master Knowledge Base.</w:t>
      </w:r>
    </w:p>
    <w:p>
      <w:pPr>
        <w:spacing w:after="80"/>
        <w:ind w:left="460" w:hanging="300"/>
      </w:pPr>
      <w:r>
        <w:rPr>
          <w:b/>
          <w:color w:val="B8860B"/>
        </w:rPr>
        <w:t>7.  </w:t>
      </w:r>
      <w:r>
        <w:t xml:space="preserve">Notify all affected AI agents of the change.</w:t>
      </w:r>
    </w:p>
    <w:p>
      <w:pPr>
        <w:pStyle w:val="Heading2"/>
      </w:pPr>
      <w:r>
        <w:t>10.2 Business Rule Record Standard</w:t>
      </w:r>
    </w:p>
    <w:p>
      <w:r>
        <w:t xml:space="preserve">Every approved rule carries: a unique Rule ID, the rule text, its source, an effective date, a named human owner, a review date, and its status. Rules are reviewed annually — business rules rot, and a rule correct last year may be wrong today. The system surfaces rules as they come due for review.</w:t>
      </w:r>
    </w:p>
    <w:p>
      <w:pPr>
        <w:pStyle w:val="Heading1"/>
      </w:pPr>
      <w:r>
        <w:t>11. Development Governance</w:t>
      </w:r>
      <w:bookmarkStart w:name="_Toc0012" w:id="12"/>
      <w:bookmarkEnd w:id="12"/>
    </w:p>
    <w:p>
      <w:pPr>
        <w:pBdr>
          <w:top w:val="single" w:color="D8D2C4" w:sz="2"/>
          <w:left w:val="single" w:color="B8860B" w:sz="20"/>
          <w:bottom w:val="single" w:color="D8D2C4" w:sz="2"/>
          <w:right w:val="single" w:color="D8D2C4" w:sz="2"/>
        </w:pBdr>
        <w:shd w:val="clear" w:fill="F8F5EE"/>
        <w:spacing w:before="160" w:after="240" w:line="320" w:lineRule="auto"/>
        <w:ind w:left="200" w:right="200"/>
      </w:pPr>
      <w:r>
        <w:rPr>
          <w:b/>
          <w:color w:val="B8860B"/>
          <w:sz w:val="20"/>
        </w:rPr>
        <w:t xml:space="preserve">PRINCIPLE   </w:t>
      </w:r>
      <w:r>
        <w:rPr>
          <w:i/>
          <w:color w:val="263238"/>
          <w:sz w:val="22"/>
        </w:rPr>
        <w:t xml:space="preserve">“Nothing is considered complete until it is tested, accepted, documented, and approved.”</w:t>
      </w:r>
    </w:p>
    <w:p>
      <w:pPr>
        <w:pStyle w:val="Heading2"/>
      </w:pPr>
      <w:r>
        <w:t>11.1 The Feature Card</w:t>
      </w:r>
    </w:p>
    <w:p>
      <w:r>
        <w:t xml:space="preserve">Every feature in every module is tracked on a standard feature card — the single source of truth for development:</w:t>
      </w:r>
    </w:p>
    <w:tbl>
      <w:tblPr>
        <w:tblW w:w="5000" w:type="pct"/>
        <w:tblBorders>
          <w:top w:val="single" w:color="263238" w:sz="10"/>
          <w:left w:val="nil"/>
          <w:bottom w:val="single" w:color="263238" w:sz="10"/>
          <w:right w:val="nil"/>
          <w:insideH w:val="single" w:color="D8D2C4" w:sz="4"/>
          <w:insideV w:val="nil"/>
        </w:tblBorders>
      </w:tblPr>
      <w:tblGrid>
        <w:gridCol w:w="2500"/>
        <w:gridCol w:w="6900"/>
      </w:tblGrid>
      <w:tr>
        <w:trPr>
          <w:tblHeader/>
        </w:trPr>
        <w:tc>
          <w:tcPr>
            <w:tcW w:w="2500" w:type="dxa"/>
            <w:shd w:val="clear" w:fill="F2EFE7"/>
          </w:tcPr>
          <w:p>
            <w:pPr>
              <w:spacing w:before="50" w:after="50"/>
            </w:pPr>
            <w:r>
              <w:rPr>
                <w:b/>
                <w:color w:val="263238"/>
                <w:sz w:val="19"/>
              </w:rPr>
              <w:t xml:space="preserve">Field</w:t>
            </w:r>
          </w:p>
        </w:tc>
        <w:tc>
          <w:tcPr>
            <w:tcW w:w="6900" w:type="dxa"/>
            <w:shd w:val="clear" w:fill="F2EFE7"/>
          </w:tcPr>
          <w:p>
            <w:pPr>
              <w:spacing w:before="50" w:after="50"/>
            </w:pPr>
            <w:r>
              <w:rPr>
                <w:b/>
                <w:color w:val="263238"/>
                <w:sz w:val="19"/>
              </w:rPr>
              <w:t xml:space="preserve">Purpose</w:t>
            </w:r>
          </w:p>
        </w:tc>
      </w:tr>
      <w:tr>
        <w:tc>
          <w:tcPr>
            <w:tcW w:w="2500" w:type="dxa"/>
          </w:tcPr>
          <w:p>
            <w:pPr>
              <w:spacing w:before="50" w:after="50"/>
            </w:pPr>
            <w:r>
              <w:rPr>
                <w:color w:val="546E7A"/>
                <w:sz w:val="19"/>
              </w:rPr>
              <w:t xml:space="preserve">Feature ID</w:t>
            </w:r>
          </w:p>
        </w:tc>
        <w:tc>
          <w:tcPr>
            <w:tcW w:w="6900" w:type="dxa"/>
          </w:tcPr>
          <w:p>
            <w:pPr>
              <w:spacing w:before="50" w:after="50"/>
            </w:pPr>
            <w:r>
              <w:rPr>
                <w:color w:val="546E7A"/>
                <w:sz w:val="19"/>
              </w:rPr>
              <w:t xml:space="preserve">Unique reference (e.g., CRM-001, FIN-015, SEC-02) — the common language of developers, QA, and management</w:t>
            </w:r>
          </w:p>
        </w:tc>
      </w:tr>
      <w:tr>
        <w:tc>
          <w:tcPr>
            <w:tcW w:w="2500" w:type="dxa"/>
          </w:tcPr>
          <w:p>
            <w:pPr>
              <w:spacing w:before="50" w:after="50"/>
            </w:pPr>
            <w:r>
              <w:rPr>
                <w:color w:val="546E7A"/>
                <w:sz w:val="19"/>
              </w:rPr>
              <w:t xml:space="preserve">Module</w:t>
            </w:r>
          </w:p>
        </w:tc>
        <w:tc>
          <w:tcPr>
            <w:tcW w:w="6900" w:type="dxa"/>
          </w:tcPr>
          <w:p>
            <w:pPr>
              <w:spacing w:before="50" w:after="50"/>
            </w:pPr>
            <w:r>
              <w:rPr>
                <w:color w:val="546E7A"/>
                <w:sz w:val="19"/>
              </w:rPr>
              <w:t xml:space="preserve">The DOS module it belongs to</w:t>
            </w:r>
          </w:p>
        </w:tc>
      </w:tr>
      <w:tr>
        <w:tc>
          <w:tcPr>
            <w:tcW w:w="2500" w:type="dxa"/>
          </w:tcPr>
          <w:p>
            <w:pPr>
              <w:spacing w:before="50" w:after="50"/>
            </w:pPr>
            <w:r>
              <w:rPr>
                <w:color w:val="546E7A"/>
                <w:sz w:val="19"/>
              </w:rPr>
              <w:t xml:space="preserve">Description</w:t>
            </w:r>
          </w:p>
        </w:tc>
        <w:tc>
          <w:tcPr>
            <w:tcW w:w="6900" w:type="dxa"/>
          </w:tcPr>
          <w:p>
            <w:pPr>
              <w:spacing w:before="50" w:after="50"/>
            </w:pPr>
            <w:r>
              <w:rPr>
                <w:color w:val="546E7A"/>
                <w:sz w:val="19"/>
              </w:rPr>
              <w:t xml:space="preserve">What the feature does, in business terms</w:t>
            </w:r>
          </w:p>
        </w:tc>
      </w:tr>
      <w:tr>
        <w:tc>
          <w:tcPr>
            <w:tcW w:w="2500" w:type="dxa"/>
          </w:tcPr>
          <w:p>
            <w:pPr>
              <w:spacing w:before="50" w:after="50"/>
            </w:pPr>
            <w:r>
              <w:rPr>
                <w:color w:val="546E7A"/>
                <w:sz w:val="19"/>
              </w:rPr>
              <w:t xml:space="preserve">Business Objective</w:t>
            </w:r>
          </w:p>
        </w:tc>
        <w:tc>
          <w:tcPr>
            <w:tcW w:w="6900" w:type="dxa"/>
          </w:tcPr>
          <w:p>
            <w:pPr>
              <w:spacing w:before="50" w:after="50"/>
            </w:pPr>
            <w:r>
              <w:rPr>
                <w:color w:val="546E7A"/>
                <w:sz w:val="19"/>
              </w:rPr>
              <w:t xml:space="preserve">Why it exists — the peso or hour value it delivers</w:t>
            </w:r>
          </w:p>
        </w:tc>
      </w:tr>
      <w:tr>
        <w:tc>
          <w:tcPr>
            <w:tcW w:w="2500" w:type="dxa"/>
          </w:tcPr>
          <w:p>
            <w:pPr>
              <w:spacing w:before="50" w:after="50"/>
            </w:pPr>
            <w:r>
              <w:rPr>
                <w:color w:val="546E7A"/>
                <w:sz w:val="19"/>
              </w:rPr>
              <w:t xml:space="preserve">Priority</w:t>
            </w:r>
          </w:p>
        </w:tc>
        <w:tc>
          <w:tcPr>
            <w:tcW w:w="6900" w:type="dxa"/>
          </w:tcPr>
          <w:p>
            <w:pPr>
              <w:spacing w:before="50" w:after="50"/>
            </w:pPr>
            <w:r>
              <w:rPr>
                <w:color w:val="546E7A"/>
                <w:sz w:val="19"/>
              </w:rPr>
              <w:t xml:space="preserve">Must / Should / Could</w:t>
            </w:r>
          </w:p>
        </w:tc>
      </w:tr>
      <w:tr>
        <w:tc>
          <w:tcPr>
            <w:tcW w:w="2500" w:type="dxa"/>
          </w:tcPr>
          <w:p>
            <w:pPr>
              <w:spacing w:before="50" w:after="50"/>
            </w:pPr>
            <w:r>
              <w:rPr>
                <w:color w:val="546E7A"/>
                <w:sz w:val="19"/>
              </w:rPr>
              <w:t xml:space="preserve">Dependencies</w:t>
            </w:r>
          </w:p>
        </w:tc>
        <w:tc>
          <w:tcPr>
            <w:tcW w:w="6900" w:type="dxa"/>
          </w:tcPr>
          <w:p>
            <w:pPr>
              <w:spacing w:before="50" w:after="50"/>
            </w:pPr>
            <w:r>
              <w:rPr>
                <w:color w:val="546E7A"/>
                <w:sz w:val="19"/>
              </w:rPr>
              <w:t xml:space="preserve">Features that must exist first</w:t>
            </w:r>
          </w:p>
        </w:tc>
      </w:tr>
      <w:tr>
        <w:tc>
          <w:tcPr>
            <w:tcW w:w="2500" w:type="dxa"/>
          </w:tcPr>
          <w:p>
            <w:pPr>
              <w:spacing w:before="50" w:after="50"/>
            </w:pPr>
            <w:r>
              <w:rPr>
                <w:color w:val="546E7A"/>
                <w:sz w:val="19"/>
              </w:rPr>
              <w:t xml:space="preserve">Assigned Developer</w:t>
            </w:r>
          </w:p>
        </w:tc>
        <w:tc>
          <w:tcPr>
            <w:tcW w:w="6900" w:type="dxa"/>
          </w:tcPr>
          <w:p>
            <w:pPr>
              <w:spacing w:before="50" w:after="50"/>
            </w:pPr>
            <w:r>
              <w:rPr>
                <w:color w:val="546E7A"/>
                <w:sz w:val="19"/>
              </w:rPr>
              <w:t xml:space="preserve">Who builds it</w:t>
            </w:r>
          </w:p>
        </w:tc>
      </w:tr>
      <w:tr>
        <w:tc>
          <w:tcPr>
            <w:tcW w:w="2500" w:type="dxa"/>
          </w:tcPr>
          <w:p>
            <w:pPr>
              <w:spacing w:before="50" w:after="50"/>
            </w:pPr>
            <w:r>
              <w:rPr>
                <w:color w:val="546E7A"/>
                <w:sz w:val="19"/>
              </w:rPr>
              <w:t xml:space="preserve">Development Status</w:t>
            </w:r>
          </w:p>
        </w:tc>
        <w:tc>
          <w:tcPr>
            <w:tcW w:w="6900" w:type="dxa"/>
          </w:tcPr>
          <w:p>
            <w:pPr>
              <w:spacing w:before="50" w:after="50"/>
            </w:pPr>
            <w:r>
              <w:rPr>
                <w:color w:val="546E7A"/>
                <w:sz w:val="19"/>
              </w:rPr>
              <w:t xml:space="preserve">Not Started / In Progress / In Testing / Done</w:t>
            </w:r>
          </w:p>
        </w:tc>
      </w:tr>
      <w:tr>
        <w:tc>
          <w:tcPr>
            <w:tcW w:w="2500" w:type="dxa"/>
          </w:tcPr>
          <w:p>
            <w:pPr>
              <w:spacing w:before="50" w:after="50"/>
            </w:pPr>
            <w:r>
              <w:rPr>
                <w:color w:val="546E7A"/>
                <w:sz w:val="19"/>
              </w:rPr>
              <w:t xml:space="preserve">Testing Status</w:t>
            </w:r>
          </w:p>
        </w:tc>
        <w:tc>
          <w:tcPr>
            <w:tcW w:w="6900" w:type="dxa"/>
          </w:tcPr>
          <w:p>
            <w:pPr>
              <w:spacing w:before="50" w:after="50"/>
            </w:pPr>
            <w:r>
              <w:rPr>
                <w:color w:val="546E7A"/>
                <w:sz w:val="19"/>
              </w:rPr>
              <w:t xml:space="preserve">Pending / Passed / Failed — against acceptance criteria</w:t>
            </w:r>
          </w:p>
        </w:tc>
      </w:tr>
      <w:tr>
        <w:tc>
          <w:tcPr>
            <w:tcW w:w="2500" w:type="dxa"/>
          </w:tcPr>
          <w:p>
            <w:pPr>
              <w:spacing w:before="50" w:after="50"/>
            </w:pPr>
            <w:r>
              <w:rPr>
                <w:color w:val="546E7A"/>
                <w:sz w:val="19"/>
              </w:rPr>
              <w:t xml:space="preserve">Acceptance Criteria</w:t>
            </w:r>
          </w:p>
        </w:tc>
        <w:tc>
          <w:tcPr>
            <w:tcW w:w="6900" w:type="dxa"/>
          </w:tcPr>
          <w:p>
            <w:pPr>
              <w:spacing w:before="50" w:after="50"/>
            </w:pPr>
            <w:r>
              <w:rPr>
                <w:color w:val="546E7A"/>
                <w:sz w:val="19"/>
              </w:rPr>
              <w:t xml:space="preserve">The testable definition of done (Section 11.3)</w:t>
            </w:r>
          </w:p>
        </w:tc>
      </w:tr>
      <w:tr>
        <w:tc>
          <w:tcPr>
            <w:tcW w:w="2500" w:type="dxa"/>
          </w:tcPr>
          <w:p>
            <w:pPr>
              <w:spacing w:before="50" w:after="50"/>
            </w:pPr>
            <w:r>
              <w:rPr>
                <w:color w:val="546E7A"/>
                <w:sz w:val="19"/>
              </w:rPr>
              <w:t xml:space="preserve">Approved By</w:t>
            </w:r>
          </w:p>
        </w:tc>
        <w:tc>
          <w:tcPr>
            <w:tcW w:w="6900" w:type="dxa"/>
          </w:tcPr>
          <w:p>
            <w:pPr>
              <w:spacing w:before="50" w:after="50"/>
            </w:pPr>
            <w:r>
              <w:rPr>
                <w:color w:val="546E7A"/>
                <w:sz w:val="19"/>
              </w:rPr>
              <w:t xml:space="preserve">The human who signs off — never the developer</w:t>
            </w:r>
          </w:p>
        </w:tc>
      </w:tr>
      <w:tr>
        <w:tc>
          <w:tcPr>
            <w:tcW w:w="2500" w:type="dxa"/>
          </w:tcPr>
          <w:p>
            <w:pPr>
              <w:spacing w:before="50" w:after="50"/>
            </w:pPr>
            <w:r>
              <w:rPr>
                <w:color w:val="546E7A"/>
                <w:sz w:val="19"/>
              </w:rPr>
              <w:t xml:space="preserve">Release Version</w:t>
            </w:r>
          </w:p>
        </w:tc>
        <w:tc>
          <w:tcPr>
            <w:tcW w:w="6900" w:type="dxa"/>
          </w:tcPr>
          <w:p>
            <w:pPr>
              <w:spacing w:before="50" w:after="50"/>
            </w:pPr>
            <w:r>
              <w:rPr>
                <w:color w:val="546E7A"/>
                <w:sz w:val="19"/>
              </w:rPr>
              <w:t xml:space="preserve">The version in which it shipped</w:t>
            </w:r>
          </w:p>
        </w:tc>
      </w:tr>
    </w:tbl>
    <w:p>
      <w:pPr>
        <w:spacing w:after="120"/>
      </w:pPr>
    </w:p>
    <w:p>
      <w:pPr>
        <w:pStyle w:val="Heading2"/>
      </w:pPr>
      <w:r>
        <w:t>11.2 Definition of Ready</w:t>
      </w:r>
    </w:p>
    <w:p>
      <w:r>
        <w:t xml:space="preserve">A feature may not enter development until all of the following are true:</w:t>
      </w:r>
    </w:p>
    <w:p>
      <w:pPr>
        <w:numPr>
          <w:ilvl w:val="0"/>
          <w:numId w:val="1"/>
        </w:numPr>
        <w:spacing w:after="80"/>
      </w:pPr>
      <w:r>
        <w:t xml:space="preserve">Acceptance criteria are written and reviewed.</w:t>
      </w:r>
    </w:p>
    <w:p>
      <w:pPr>
        <w:numPr>
          <w:ilvl w:val="0"/>
          <w:numId w:val="1"/>
        </w:numPr>
        <w:spacing w:after="80"/>
      </w:pPr>
      <w:r>
        <w:t xml:space="preserve">Dependencies are identified and resolved or scheduled.</w:t>
      </w:r>
    </w:p>
    <w:p>
      <w:pPr>
        <w:numPr>
          <w:ilvl w:val="0"/>
          <w:numId w:val="1"/>
        </w:numPr>
        <w:spacing w:after="80"/>
      </w:pPr>
      <w:r>
        <w:t xml:space="preserve">Priority is assigned (Must / Should / Could).</w:t>
      </w:r>
    </w:p>
    <w:p>
      <w:r>
        <w:t xml:space="preserve">This kills the half-specified feature at the door.</w:t>
      </w:r>
    </w:p>
    <w:p>
      <w:pPr>
        <w:pStyle w:val="Heading2"/>
      </w:pPr>
      <w:r>
        <w:t>11.3 Done Means Done</w:t>
      </w:r>
    </w:p>
    <w:p>
      <w:r>
        <w:t xml:space="preserve">A feature is Done only when every acceptance criterion passes. Worked example — FIN-023, AI Petty Cash Liquidation:</w:t>
      </w:r>
    </w:p>
    <w:p>
      <w:pPr>
        <w:spacing w:after="80"/>
        <w:ind w:left="460" w:hanging="300"/>
      </w:pPr>
      <w:r>
        <w:rPr>
          <w:b/>
          <w:color w:val="B8860B"/>
        </w:rPr>
        <w:t>1.  </w:t>
      </w:r>
      <w:r>
        <w:t xml:space="preserve">Employee requests petty cash.</w:t>
      </w:r>
    </w:p>
    <w:p>
      <w:pPr>
        <w:spacing w:after="80"/>
        <w:ind w:left="460" w:hanging="300"/>
      </w:pPr>
      <w:r>
        <w:rPr>
          <w:b/>
          <w:color w:val="B8860B"/>
        </w:rPr>
        <w:t>2.  </w:t>
      </w:r>
      <w:r>
        <w:t xml:space="preserve">Manager approves the request.</w:t>
      </w:r>
    </w:p>
    <w:p>
      <w:pPr>
        <w:spacing w:after="80"/>
        <w:ind w:left="460" w:hanging="300"/>
      </w:pPr>
      <w:r>
        <w:rPr>
          <w:b/>
          <w:color w:val="B8860B"/>
        </w:rPr>
        <w:t>3.  </w:t>
      </w:r>
      <w:r>
        <w:t xml:space="preserve">Cash is released and recorded.</w:t>
      </w:r>
    </w:p>
    <w:p>
      <w:pPr>
        <w:spacing w:after="80"/>
        <w:ind w:left="460" w:hanging="300"/>
      </w:pPr>
      <w:r>
        <w:rPr>
          <w:b/>
          <w:color w:val="B8860B"/>
        </w:rPr>
        <w:t>4.  </w:t>
      </w:r>
      <w:r>
        <w:t xml:space="preserve">Receipts are uploaded.</w:t>
      </w:r>
    </w:p>
    <w:p>
      <w:pPr>
        <w:spacing w:after="80"/>
        <w:ind w:left="460" w:hanging="300"/>
      </w:pPr>
      <w:r>
        <w:rPr>
          <w:b/>
          <w:color w:val="B8860B"/>
        </w:rPr>
        <w:t>5.  </w:t>
      </w:r>
      <w:r>
        <w:t xml:space="preserve">OCR validates the receipts.</w:t>
      </w:r>
    </w:p>
    <w:p>
      <w:pPr>
        <w:spacing w:after="80"/>
        <w:ind w:left="460" w:hanging="300"/>
      </w:pPr>
      <w:r>
        <w:rPr>
          <w:b/>
          <w:color w:val="B8860B"/>
        </w:rPr>
        <w:t>6.  </w:t>
      </w:r>
      <w:r>
        <w:t xml:space="preserve">Remaining cash is returned and recorded.</w:t>
      </w:r>
    </w:p>
    <w:p>
      <w:pPr>
        <w:spacing w:after="80"/>
        <w:ind w:left="460" w:hanging="300"/>
      </w:pPr>
      <w:r>
        <w:rPr>
          <w:b/>
          <w:color w:val="B8860B"/>
        </w:rPr>
        <w:t>7.  </w:t>
      </w:r>
      <w:r>
        <w:t xml:space="preserve">AI reconciles totals.</w:t>
      </w:r>
    </w:p>
    <w:p>
      <w:pPr>
        <w:spacing w:after="80"/>
        <w:ind w:left="460" w:hanging="300"/>
      </w:pPr>
      <w:r>
        <w:rPr>
          <w:b/>
          <w:color w:val="B8860B"/>
        </w:rPr>
        <w:t>8.  </w:t>
      </w:r>
      <w:r>
        <w:t xml:space="preserve">A new petty cash request is blocked until liquidation is complete.</w:t>
      </w:r>
    </w:p>
    <w:p>
      <w:pPr>
        <w:spacing w:after="80"/>
        <w:ind w:left="460" w:hanging="300"/>
      </w:pPr>
      <w:r>
        <w:rPr>
          <w:b/>
          <w:color w:val="B8860B"/>
        </w:rPr>
        <w:t>9.  </w:t>
      </w:r>
      <w:r>
        <w:t xml:space="preserve">A full audit trail is generated.</w:t>
      </w:r>
    </w:p>
    <w:p>
      <w:pPr>
        <w:spacing w:after="80"/>
        <w:ind w:left="460" w:hanging="300"/>
      </w:pPr>
      <w:r>
        <w:rPr>
          <w:b/>
          <w:color w:val="B8860B"/>
        </w:rPr>
        <w:t>10.  </w:t>
      </w:r>
      <w:r>
        <w:t xml:space="preserve">The executive dashboard updates automatically.</w:t>
      </w:r>
    </w:p>
    <w:p>
      <w:r>
        <w:t xml:space="preserve">If even one step fails, the feature remains In Testing — not Done.</w:t>
      </w:r>
    </w:p>
    <w:p>
      <w:r>
        <w:rPr>
          <w:b/>
          <w:color w:val="37474F"/>
        </w:rPr>
        <w:t xml:space="preserve">Policy inside criteria.  </w:t>
      </w:r>
      <w:r>
        <w:t xml:space="preserve">Acceptance criteria that contain the words “blocked,” “approved,” or “required” embed company policy (step 8 above is a policy decision, not a technical one). An owner personally reviews every such criterion before development begins.</w:t>
      </w:r>
    </w:p>
    <w:p>
      <w:r>
        <w:rPr>
          <w:b/>
          <w:color w:val="37474F"/>
        </w:rPr>
        <w:t xml:space="preserve">Human-only statuses.  </w:t>
      </w:r>
      <w:r>
        <w:t xml:space="preserve">AI may mark a feature “passed testing.” Only a Director may set a feature to Approved or Released. Machines recommend; owners decide.</w:t>
      </w:r>
    </w:p>
    <w:p>
      <w:pPr>
        <w:pStyle w:val="Heading2"/>
      </w:pPr>
      <w:r>
        <w:t>11.4 AI Project Manager</w:t>
      </w:r>
    </w:p>
    <w:p>
      <w:r>
        <w:t xml:space="preserve">The AI Project Manager writes no code — it manages the project data. It continuously checks which features are overdue, blocked, dependent, overloaded, awaiting tests, or awaiting executive approval. Every morning it issues a report covering: project progress, risks, blockers, missing features, and recommended priorities.</w:t>
      </w:r>
    </w:p>
    <w:p>
      <w:pPr>
        <w:numPr>
          <w:ilvl w:val="0"/>
          <w:numId w:val="1"/>
        </w:numPr>
        <w:spacing w:after="80"/>
      </w:pPr>
      <w:r>
        <w:rPr>
          <w:b/>
          <w:color w:val="37474F"/>
        </w:rPr>
        <w:t xml:space="preserve">Data discipline rule — </w:t>
      </w:r>
      <w:r>
        <w:t xml:space="preserve">the AI PM is only as honest as its data. Every developer updates feature statuses before end of day (two minutes). This is daily discipline, not optional.</w:t>
      </w:r>
    </w:p>
    <w:p>
      <w:pPr>
        <w:numPr>
          <w:ilvl w:val="0"/>
          <w:numId w:val="1"/>
        </w:numPr>
        <w:spacing w:after="80"/>
      </w:pPr>
      <w:r>
        <w:rPr>
          <w:b/>
          <w:color w:val="37474F"/>
        </w:rPr>
        <w:t xml:space="preserve">Authority rule — </w:t>
      </w:r>
      <w:r>
        <w:t xml:space="preserve">the AI PM recommends; it never reassigns people or chases staff on its own. It escalates to the Director, who decides.</w:t>
      </w:r>
    </w:p>
    <w:p>
      <w:pPr>
        <w:pStyle w:val="Heading2"/>
      </w:pPr>
      <w:r>
        <w:t>11.5 AI Blueprint Validator</w:t>
      </w:r>
    </w:p>
    <w:p>
      <w:r>
        <w:t xml:space="preserve">Before every sprint, the Validator compares the Master Blueprint, existing module files, the developer task list, completed features, and test results — and identifies:</w:t>
      </w:r>
    </w:p>
    <w:p>
      <w:pPr>
        <w:numPr>
          <w:ilvl w:val="0"/>
          <w:numId w:val="1"/>
        </w:numPr>
        <w:spacing w:after="80"/>
      </w:pPr>
      <w:r>
        <w:t xml:space="preserve">Missing requirements and incomplete implementations</w:t>
      </w:r>
    </w:p>
    <w:p>
      <w:pPr>
        <w:numPr>
          <w:ilvl w:val="0"/>
          <w:numId w:val="1"/>
        </w:numPr>
        <w:spacing w:after="80"/>
      </w:pPr>
      <w:r>
        <w:t xml:space="preserve">Duplicate features and conflicting business rules</w:t>
      </w:r>
    </w:p>
    <w:p>
      <w:pPr>
        <w:numPr>
          <w:ilvl w:val="0"/>
          <w:numId w:val="1"/>
        </w:numPr>
        <w:spacing w:after="80"/>
      </w:pPr>
      <w:r>
        <w:t xml:space="preserve">Features discussed in meetings but never assigned</w:t>
      </w:r>
    </w:p>
    <w:p>
      <w:r>
        <w:t xml:space="preserve">Requirement: blueprint documents must be structured and machine-readable (consistent feature IDs and headings) — the Validator cannot audit what it cannot parse.</w:t>
      </w:r>
    </w:p>
    <w:p>
      <w:pPr>
        <w:pStyle w:val="Heading2"/>
      </w:pPr>
      <w:r>
        <w:t>11.6 Blueprint Compliance Score</w:t>
      </w:r>
    </w:p>
    <w:p>
      <w:r>
        <w:t xml:space="preserve">Each module reports: total planned features, completed, in testing, blocked, deferred, and a compliance percentage (e.g., CRM 92%, Finance 78%). Two rules keep the metric honest:</w:t>
      </w:r>
    </w:p>
    <w:p>
      <w:pPr>
        <w:numPr>
          <w:ilvl w:val="0"/>
          <w:numId w:val="1"/>
        </w:numPr>
        <w:spacing w:after="80"/>
      </w:pPr>
      <w:r>
        <w:rPr>
          <w:b/>
          <w:color w:val="37474F"/>
        </w:rPr>
        <w:t xml:space="preserve">Must-features are reported separately — </w:t>
      </w:r>
      <w:r>
        <w:t xml:space="preserve">“CRM: 92% overall / Must: 100%.” The Must number is the one management manages by; completing nine trivia while one Must is missing is not 90% done.</w:t>
      </w:r>
    </w:p>
    <w:p>
      <w:pPr>
        <w:numPr>
          <w:ilvl w:val="0"/>
          <w:numId w:val="1"/>
        </w:numPr>
        <w:spacing w:after="80"/>
      </w:pPr>
      <w:r>
        <w:rPr>
          <w:b/>
          <w:color w:val="37474F"/>
        </w:rPr>
        <w:t xml:space="preserve">Flashlight, not a stick — </w:t>
      </w:r>
      <w:r>
        <w:t xml:space="preserve">the score illuminates; it is never used to punish. A punished metric gets gamed; a gamed metric tells lies.</w:t>
      </w:r>
    </w:p>
    <w:p>
      <w:pPr>
        <w:pStyle w:val="Heading2"/>
      </w:pPr>
      <w:r>
        <w:t>11.7 Operating Cadence</w:t>
      </w:r>
    </w:p>
    <w:tbl>
      <w:tblPr>
        <w:tblW w:w="5000" w:type="pct"/>
        <w:tblBorders>
          <w:top w:val="single" w:color="263238" w:sz="10"/>
          <w:left w:val="nil"/>
          <w:bottom w:val="single" w:color="263238" w:sz="10"/>
          <w:right w:val="nil"/>
          <w:insideH w:val="single" w:color="D8D2C4" w:sz="4"/>
          <w:insideV w:val="nil"/>
        </w:tblBorders>
      </w:tblPr>
      <w:tblGrid>
        <w:gridCol w:w="2300"/>
        <w:gridCol w:w="2100"/>
        <w:gridCol w:w="2400"/>
        <w:gridCol w:w="2600"/>
      </w:tblGrid>
      <w:tr>
        <w:trPr>
          <w:tblHeader/>
        </w:trPr>
        <w:tc>
          <w:tcPr>
            <w:tcW w:w="2300" w:type="dxa"/>
            <w:shd w:val="clear" w:fill="F2EFE7"/>
          </w:tcPr>
          <w:p>
            <w:pPr>
              <w:spacing w:before="50" w:after="50"/>
            </w:pPr>
            <w:r>
              <w:rPr>
                <w:b/>
                <w:color w:val="263238"/>
                <w:sz w:val="19"/>
              </w:rPr>
              <w:t xml:space="preserve">Ritual</w:t>
            </w:r>
          </w:p>
        </w:tc>
        <w:tc>
          <w:tcPr>
            <w:tcW w:w="2100" w:type="dxa"/>
            <w:shd w:val="clear" w:fill="F2EFE7"/>
          </w:tcPr>
          <w:p>
            <w:pPr>
              <w:spacing w:before="50" w:after="50"/>
            </w:pPr>
            <w:r>
              <w:rPr>
                <w:b/>
                <w:color w:val="263238"/>
                <w:sz w:val="19"/>
              </w:rPr>
              <w:t xml:space="preserve">Frequency</w:t>
            </w:r>
          </w:p>
        </w:tc>
        <w:tc>
          <w:tcPr>
            <w:tcW w:w="2400" w:type="dxa"/>
            <w:shd w:val="clear" w:fill="F2EFE7"/>
          </w:tcPr>
          <w:p>
            <w:pPr>
              <w:spacing w:before="50" w:after="50"/>
            </w:pPr>
            <w:r>
              <w:rPr>
                <w:b/>
                <w:color w:val="263238"/>
                <w:sz w:val="19"/>
              </w:rPr>
              <w:t xml:space="preserve">Participants</w:t>
            </w:r>
          </w:p>
        </w:tc>
        <w:tc>
          <w:tcPr>
            <w:tcW w:w="2600" w:type="dxa"/>
            <w:shd w:val="clear" w:fill="F2EFE7"/>
          </w:tcPr>
          <w:p>
            <w:pPr>
              <w:spacing w:before="50" w:after="50"/>
            </w:pPr>
            <w:r>
              <w:rPr>
                <w:b/>
                <w:color w:val="263238"/>
                <w:sz w:val="19"/>
              </w:rPr>
              <w:t xml:space="preserve">Output</w:t>
            </w:r>
          </w:p>
        </w:tc>
      </w:tr>
      <w:tr>
        <w:tc>
          <w:tcPr>
            <w:tcW w:w="2300" w:type="dxa"/>
          </w:tcPr>
          <w:p>
            <w:pPr>
              <w:spacing w:before="50" w:after="50"/>
            </w:pPr>
            <w:r>
              <w:rPr>
                <w:color w:val="546E7A"/>
                <w:sz w:val="19"/>
              </w:rPr>
              <w:t xml:space="preserve">Status update</w:t>
            </w:r>
          </w:p>
        </w:tc>
        <w:tc>
          <w:tcPr>
            <w:tcW w:w="2100" w:type="dxa"/>
          </w:tcPr>
          <w:p>
            <w:pPr>
              <w:spacing w:before="50" w:after="50"/>
            </w:pPr>
            <w:r>
              <w:rPr>
                <w:color w:val="546E7A"/>
                <w:sz w:val="19"/>
              </w:rPr>
              <w:t xml:space="preserve">Daily, end of day (2 min)</w:t>
            </w:r>
          </w:p>
        </w:tc>
        <w:tc>
          <w:tcPr>
            <w:tcW w:w="2400" w:type="dxa"/>
          </w:tcPr>
          <w:p>
            <w:pPr>
              <w:spacing w:before="50" w:after="50"/>
            </w:pPr>
            <w:r>
              <w:rPr>
                <w:color w:val="546E7A"/>
                <w:sz w:val="19"/>
              </w:rPr>
              <w:t xml:space="preserve">All developers</w:t>
            </w:r>
          </w:p>
        </w:tc>
        <w:tc>
          <w:tcPr>
            <w:tcW w:w="2600" w:type="dxa"/>
          </w:tcPr>
          <w:p>
            <w:pPr>
              <w:spacing w:before="50" w:after="50"/>
            </w:pPr>
            <w:r>
              <w:rPr>
                <w:color w:val="546E7A"/>
                <w:sz w:val="19"/>
              </w:rPr>
              <w:t xml:space="preserve">Current feature statuses</w:t>
            </w:r>
          </w:p>
        </w:tc>
      </w:tr>
      <w:tr>
        <w:tc>
          <w:tcPr>
            <w:tcW w:w="2300" w:type="dxa"/>
          </w:tcPr>
          <w:p>
            <w:pPr>
              <w:spacing w:before="50" w:after="50"/>
            </w:pPr>
            <w:r>
              <w:rPr>
                <w:color w:val="546E7A"/>
                <w:sz w:val="19"/>
              </w:rPr>
              <w:t xml:space="preserve">AI PM morning report</w:t>
            </w:r>
          </w:p>
        </w:tc>
        <w:tc>
          <w:tcPr>
            <w:tcW w:w="2100" w:type="dxa"/>
          </w:tcPr>
          <w:p>
            <w:pPr>
              <w:spacing w:before="50" w:after="50"/>
            </w:pPr>
            <w:r>
              <w:rPr>
                <w:color w:val="546E7A"/>
                <w:sz w:val="19"/>
              </w:rPr>
              <w:t xml:space="preserve">Daily, automatic</w:t>
            </w:r>
          </w:p>
        </w:tc>
        <w:tc>
          <w:tcPr>
            <w:tcW w:w="2400" w:type="dxa"/>
          </w:tcPr>
          <w:p>
            <w:pPr>
              <w:spacing w:before="50" w:after="50"/>
            </w:pPr>
            <w:r>
              <w:rPr>
                <w:color w:val="546E7A"/>
                <w:sz w:val="19"/>
              </w:rPr>
              <w:t xml:space="preserve">Director, leads</w:t>
            </w:r>
          </w:p>
        </w:tc>
        <w:tc>
          <w:tcPr>
            <w:tcW w:w="2600" w:type="dxa"/>
          </w:tcPr>
          <w:p>
            <w:pPr>
              <w:spacing w:before="50" w:after="50"/>
            </w:pPr>
            <w:r>
              <w:rPr>
                <w:color w:val="546E7A"/>
                <w:sz w:val="19"/>
              </w:rPr>
              <w:t xml:space="preserve">Progress, risks, blockers, priorities</w:t>
            </w:r>
          </w:p>
        </w:tc>
      </w:tr>
      <w:tr>
        <w:tc>
          <w:tcPr>
            <w:tcW w:w="2300" w:type="dxa"/>
          </w:tcPr>
          <w:p>
            <w:pPr>
              <w:spacing w:before="50" w:after="50"/>
            </w:pPr>
            <w:r>
              <w:rPr>
                <w:color w:val="546E7A"/>
                <w:sz w:val="19"/>
              </w:rPr>
              <w:t xml:space="preserve">Governance review</w:t>
            </w:r>
          </w:p>
        </w:tc>
        <w:tc>
          <w:tcPr>
            <w:tcW w:w="2100" w:type="dxa"/>
          </w:tcPr>
          <w:p>
            <w:pPr>
              <w:spacing w:before="50" w:after="50"/>
            </w:pPr>
            <w:r>
              <w:rPr>
                <w:color w:val="546E7A"/>
                <w:sz w:val="19"/>
              </w:rPr>
              <w:t xml:space="preserve">Weekly, 30 minutes</w:t>
            </w:r>
          </w:p>
        </w:tc>
        <w:tc>
          <w:tcPr>
            <w:tcW w:w="2400" w:type="dxa"/>
          </w:tcPr>
          <w:p>
            <w:pPr>
              <w:spacing w:before="50" w:after="50"/>
            </w:pPr>
            <w:r>
              <w:rPr>
                <w:color w:val="546E7A"/>
                <w:sz w:val="19"/>
              </w:rPr>
              <w:t xml:space="preserve">Director + lead developer + AI PM report</w:t>
            </w:r>
          </w:p>
        </w:tc>
        <w:tc>
          <w:tcPr>
            <w:tcW w:w="2600" w:type="dxa"/>
          </w:tcPr>
          <w:p>
            <w:pPr>
              <w:spacing w:before="50" w:after="50"/>
            </w:pPr>
            <w:r>
              <w:rPr>
                <w:color w:val="546E7A"/>
                <w:sz w:val="19"/>
              </w:rPr>
              <w:t xml:space="preserve">Decisions on escalations and approvals</w:t>
            </w:r>
          </w:p>
        </w:tc>
      </w:tr>
      <w:tr>
        <w:tc>
          <w:tcPr>
            <w:tcW w:w="2300" w:type="dxa"/>
          </w:tcPr>
          <w:p>
            <w:pPr>
              <w:spacing w:before="50" w:after="50"/>
            </w:pPr>
            <w:r>
              <w:rPr>
                <w:color w:val="546E7A"/>
                <w:sz w:val="19"/>
              </w:rPr>
              <w:t xml:space="preserve">Restore drill</w:t>
            </w:r>
          </w:p>
        </w:tc>
        <w:tc>
          <w:tcPr>
            <w:tcW w:w="2100" w:type="dxa"/>
          </w:tcPr>
          <w:p>
            <w:pPr>
              <w:spacing w:before="50" w:after="50"/>
            </w:pPr>
            <w:r>
              <w:rPr>
                <w:color w:val="546E7A"/>
                <w:sz w:val="19"/>
              </w:rPr>
              <w:t xml:space="preserve">Quarterly</w:t>
            </w:r>
          </w:p>
        </w:tc>
        <w:tc>
          <w:tcPr>
            <w:tcW w:w="2400" w:type="dxa"/>
          </w:tcPr>
          <w:p>
            <w:pPr>
              <w:spacing w:before="50" w:after="50"/>
            </w:pPr>
            <w:r>
              <w:rPr>
                <w:color w:val="546E7A"/>
                <w:sz w:val="19"/>
              </w:rPr>
              <w:t xml:space="preserve">IT Team</w:t>
            </w:r>
          </w:p>
        </w:tc>
        <w:tc>
          <w:tcPr>
            <w:tcW w:w="2600" w:type="dxa"/>
          </w:tcPr>
          <w:p>
            <w:pPr>
              <w:spacing w:before="50" w:after="50"/>
            </w:pPr>
            <w:r>
              <w:rPr>
                <w:color w:val="546E7A"/>
                <w:sz w:val="19"/>
              </w:rPr>
              <w:t xml:space="preserve">Verified backup restoration</w:t>
            </w:r>
          </w:p>
        </w:tc>
      </w:tr>
      <w:tr>
        <w:tc>
          <w:tcPr>
            <w:tcW w:w="2300" w:type="dxa"/>
          </w:tcPr>
          <w:p>
            <w:pPr>
              <w:spacing w:before="50" w:after="50"/>
            </w:pPr>
            <w:r>
              <w:rPr>
                <w:color w:val="546E7A"/>
                <w:sz w:val="19"/>
              </w:rPr>
              <w:t xml:space="preserve">Framework review</w:t>
            </w:r>
          </w:p>
        </w:tc>
        <w:tc>
          <w:tcPr>
            <w:tcW w:w="2100" w:type="dxa"/>
          </w:tcPr>
          <w:p>
            <w:pPr>
              <w:spacing w:before="50" w:after="50"/>
            </w:pPr>
            <w:r>
              <w:rPr>
                <w:color w:val="546E7A"/>
                <w:sz w:val="19"/>
              </w:rPr>
              <w:t xml:space="preserve">Quarterly</w:t>
            </w:r>
          </w:p>
        </w:tc>
        <w:tc>
          <w:tcPr>
            <w:tcW w:w="2400" w:type="dxa"/>
          </w:tcPr>
          <w:p>
            <w:pPr>
              <w:spacing w:before="50" w:after="50"/>
            </w:pPr>
            <w:r>
              <w:rPr>
                <w:color w:val="546E7A"/>
                <w:sz w:val="19"/>
              </w:rPr>
              <w:t xml:space="preserve">Directors</w:t>
            </w:r>
          </w:p>
        </w:tc>
        <w:tc>
          <w:tcPr>
            <w:tcW w:w="2600" w:type="dxa"/>
          </w:tcPr>
          <w:p>
            <w:pPr>
              <w:spacing w:before="50" w:after="50"/>
            </w:pPr>
            <w:r>
              <w:rPr>
                <w:color w:val="546E7A"/>
                <w:sz w:val="19"/>
              </w:rPr>
              <w:t xml:space="preserve">v1.1 decisions from backlog</w:t>
            </w:r>
          </w:p>
        </w:tc>
      </w:tr>
    </w:tbl>
    <w:p>
      <w:pPr>
        <w:spacing w:after="120"/>
      </w:pPr>
    </w:p>
    <w:p>
      <w:pPr>
        <w:pStyle w:val="Heading1"/>
      </w:pPr>
      <w:r>
        <w:t>12. Requirements Traceability Matrix</w:t>
      </w:r>
      <w:bookmarkStart w:name="_Toc0013" w:id="13"/>
      <w:bookmarkEnd w:id="13"/>
    </w:p>
    <w:p>
      <w:r>
        <w:t xml:space="preserve">The RTM is the development punch list: every feature discussed becomes a numbered line with an owner, a status, and a sign-off. Nothing is “assumed built.” A feature is Done only when tested against its acceptance criteria and signed off by a Director. Sample extract:</w:t>
      </w:r>
    </w:p>
    <w:tbl>
      <w:tblPr>
        <w:tblW w:w="5000" w:type="pct"/>
        <w:tblBorders>
          <w:top w:val="single" w:color="263238" w:sz="10"/>
          <w:left w:val="nil"/>
          <w:bottom w:val="single" w:color="263238" w:sz="10"/>
          <w:right w:val="nil"/>
          <w:insideH w:val="single" w:color="D8D2C4" w:sz="4"/>
          <w:insideV w:val="nil"/>
        </w:tblBorders>
      </w:tblPr>
      <w:tblGrid>
        <w:gridCol w:w="1000"/>
        <w:gridCol w:w="1400"/>
        <w:gridCol w:w="3800"/>
        <w:gridCol w:w="1100"/>
        <w:gridCol w:w="1400"/>
        <w:gridCol w:w="1000"/>
      </w:tblGrid>
      <w:tr>
        <w:trPr>
          <w:tblHeader/>
        </w:trPr>
        <w:tc>
          <w:tcPr>
            <w:tcW w:w="1000" w:type="dxa"/>
            <w:shd w:val="clear" w:fill="F2EFE7"/>
          </w:tcPr>
          <w:p>
            <w:pPr>
              <w:spacing w:before="50" w:after="50"/>
            </w:pPr>
            <w:r>
              <w:rPr>
                <w:b/>
                <w:color w:val="263238"/>
                <w:sz w:val="19"/>
              </w:rPr>
              <w:t xml:space="preserve">ID</w:t>
            </w:r>
          </w:p>
        </w:tc>
        <w:tc>
          <w:tcPr>
            <w:tcW w:w="1400" w:type="dxa"/>
            <w:shd w:val="clear" w:fill="F2EFE7"/>
          </w:tcPr>
          <w:p>
            <w:pPr>
              <w:spacing w:before="50" w:after="50"/>
            </w:pPr>
            <w:r>
              <w:rPr>
                <w:b/>
                <w:color w:val="263238"/>
                <w:sz w:val="19"/>
              </w:rPr>
              <w:t xml:space="preserve">Module</w:t>
            </w:r>
          </w:p>
        </w:tc>
        <w:tc>
          <w:tcPr>
            <w:tcW w:w="3800" w:type="dxa"/>
            <w:shd w:val="clear" w:fill="F2EFE7"/>
          </w:tcPr>
          <w:p>
            <w:pPr>
              <w:spacing w:before="50" w:after="50"/>
            </w:pPr>
            <w:r>
              <w:rPr>
                <w:b/>
                <w:color w:val="263238"/>
                <w:sz w:val="19"/>
              </w:rPr>
              <w:t xml:space="preserve">Feature</w:t>
            </w:r>
          </w:p>
        </w:tc>
        <w:tc>
          <w:tcPr>
            <w:tcW w:w="1100" w:type="dxa"/>
            <w:shd w:val="clear" w:fill="F2EFE7"/>
          </w:tcPr>
          <w:p>
            <w:pPr>
              <w:spacing w:before="50" w:after="50"/>
            </w:pPr>
            <w:r>
              <w:rPr>
                <w:b/>
                <w:color w:val="263238"/>
                <w:sz w:val="19"/>
              </w:rPr>
              <w:t xml:space="preserve">Priority</w:t>
            </w:r>
          </w:p>
        </w:tc>
        <w:tc>
          <w:tcPr>
            <w:tcW w:w="1400" w:type="dxa"/>
            <w:shd w:val="clear" w:fill="F2EFE7"/>
          </w:tcPr>
          <w:p>
            <w:pPr>
              <w:spacing w:before="50" w:after="50"/>
            </w:pPr>
            <w:r>
              <w:rPr>
                <w:b/>
                <w:color w:val="263238"/>
                <w:sz w:val="19"/>
              </w:rPr>
              <w:t xml:space="preserve">Status</w:t>
            </w:r>
          </w:p>
        </w:tc>
        <w:tc>
          <w:tcPr>
            <w:tcW w:w="1000" w:type="dxa"/>
            <w:shd w:val="clear" w:fill="F2EFE7"/>
          </w:tcPr>
          <w:p>
            <w:pPr>
              <w:spacing w:before="50" w:after="50"/>
            </w:pPr>
            <w:r>
              <w:rPr>
                <w:b/>
                <w:color w:val="263238"/>
                <w:sz w:val="19"/>
              </w:rPr>
              <w:t xml:space="preserve">Sign-off</w:t>
            </w:r>
          </w:p>
        </w:tc>
      </w:tr>
      <w:tr>
        <w:tc>
          <w:tcPr>
            <w:tcW w:w="1000" w:type="dxa"/>
          </w:tcPr>
          <w:p>
            <w:pPr>
              <w:spacing w:before="50" w:after="50"/>
            </w:pPr>
            <w:r>
              <w:rPr>
                <w:color w:val="546E7A"/>
                <w:sz w:val="19"/>
              </w:rPr>
              <w:t xml:space="preserve">SEC-01</w:t>
            </w:r>
          </w:p>
        </w:tc>
        <w:tc>
          <w:tcPr>
            <w:tcW w:w="1400" w:type="dxa"/>
          </w:tcPr>
          <w:p>
            <w:pPr>
              <w:spacing w:before="50" w:after="50"/>
            </w:pPr>
            <w:r>
              <w:rPr>
                <w:color w:val="546E7A"/>
                <w:sz w:val="19"/>
              </w:rPr>
              <w:t xml:space="preserve">Security</w:t>
            </w:r>
          </w:p>
        </w:tc>
        <w:tc>
          <w:tcPr>
            <w:tcW w:w="3800" w:type="dxa"/>
          </w:tcPr>
          <w:p>
            <w:pPr>
              <w:spacing w:before="50" w:after="50"/>
            </w:pPr>
            <w:r>
              <w:rPr>
                <w:color w:val="546E7A"/>
                <w:sz w:val="19"/>
              </w:rPr>
              <w:t xml:space="preserve">Role-based AI assistant per user ID</w:t>
            </w:r>
          </w:p>
        </w:tc>
        <w:tc>
          <w:tcPr>
            <w:tcW w:w="1100" w:type="dxa"/>
          </w:tcPr>
          <w:p>
            <w:pPr>
              <w:spacing w:before="50" w:after="50"/>
            </w:pPr>
            <w:r>
              <w:rPr>
                <w:color w:val="546E7A"/>
                <w:sz w:val="19"/>
              </w:rPr>
              <w:t xml:space="preserve">Must</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SEC-02</w:t>
            </w:r>
          </w:p>
        </w:tc>
        <w:tc>
          <w:tcPr>
            <w:tcW w:w="1400" w:type="dxa"/>
          </w:tcPr>
          <w:p>
            <w:pPr>
              <w:spacing w:before="50" w:after="50"/>
            </w:pPr>
            <w:r>
              <w:rPr>
                <w:color w:val="546E7A"/>
                <w:sz w:val="19"/>
              </w:rPr>
              <w:t xml:space="preserve">Security</w:t>
            </w:r>
          </w:p>
        </w:tc>
        <w:tc>
          <w:tcPr>
            <w:tcW w:w="3800" w:type="dxa"/>
          </w:tcPr>
          <w:p>
            <w:pPr>
              <w:spacing w:before="50" w:after="50"/>
            </w:pPr>
            <w:r>
              <w:rPr>
                <w:color w:val="546E7A"/>
                <w:sz w:val="19"/>
              </w:rPr>
              <w:t xml:space="preserve">Full audit logging of user and agent actions</w:t>
            </w:r>
          </w:p>
        </w:tc>
        <w:tc>
          <w:tcPr>
            <w:tcW w:w="1100" w:type="dxa"/>
          </w:tcPr>
          <w:p>
            <w:pPr>
              <w:spacing w:before="50" w:after="50"/>
            </w:pPr>
            <w:r>
              <w:rPr>
                <w:color w:val="546E7A"/>
                <w:sz w:val="19"/>
              </w:rPr>
              <w:t xml:space="preserve">Must</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BKP-01</w:t>
            </w:r>
          </w:p>
        </w:tc>
        <w:tc>
          <w:tcPr>
            <w:tcW w:w="1400" w:type="dxa"/>
          </w:tcPr>
          <w:p>
            <w:pPr>
              <w:spacing w:before="50" w:after="50"/>
            </w:pPr>
            <w:r>
              <w:rPr>
                <w:color w:val="546E7A"/>
                <w:sz w:val="19"/>
              </w:rPr>
              <w:t xml:space="preserve">AIITOC</w:t>
            </w:r>
          </w:p>
        </w:tc>
        <w:tc>
          <w:tcPr>
            <w:tcW w:w="3800" w:type="dxa"/>
          </w:tcPr>
          <w:p>
            <w:pPr>
              <w:spacing w:before="50" w:after="50"/>
            </w:pPr>
            <w:r>
              <w:rPr>
                <w:color w:val="546E7A"/>
                <w:sz w:val="19"/>
              </w:rPr>
              <w:t xml:space="preserve">Automated daily incremental backups</w:t>
            </w:r>
          </w:p>
        </w:tc>
        <w:tc>
          <w:tcPr>
            <w:tcW w:w="1100" w:type="dxa"/>
          </w:tcPr>
          <w:p>
            <w:pPr>
              <w:spacing w:before="50" w:after="50"/>
            </w:pPr>
            <w:r>
              <w:rPr>
                <w:color w:val="546E7A"/>
                <w:sz w:val="19"/>
              </w:rPr>
              <w:t xml:space="preserve">Must</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CRM-001</w:t>
            </w:r>
          </w:p>
        </w:tc>
        <w:tc>
          <w:tcPr>
            <w:tcW w:w="1400" w:type="dxa"/>
          </w:tcPr>
          <w:p>
            <w:pPr>
              <w:spacing w:before="50" w:after="50"/>
            </w:pPr>
            <w:r>
              <w:rPr>
                <w:color w:val="546E7A"/>
                <w:sz w:val="19"/>
              </w:rPr>
              <w:t xml:space="preserve">CRM</w:t>
            </w:r>
          </w:p>
        </w:tc>
        <w:tc>
          <w:tcPr>
            <w:tcW w:w="3800" w:type="dxa"/>
          </w:tcPr>
          <w:p>
            <w:pPr>
              <w:spacing w:before="50" w:after="50"/>
            </w:pPr>
            <w:r>
              <w:rPr>
                <w:color w:val="546E7A"/>
                <w:sz w:val="19"/>
              </w:rPr>
              <w:t xml:space="preserve">Lead capture from email with prospect record</w:t>
            </w:r>
          </w:p>
        </w:tc>
        <w:tc>
          <w:tcPr>
            <w:tcW w:w="1100" w:type="dxa"/>
          </w:tcPr>
          <w:p>
            <w:pPr>
              <w:spacing w:before="50" w:after="50"/>
            </w:pPr>
            <w:r>
              <w:rPr>
                <w:color w:val="546E7A"/>
                <w:sz w:val="19"/>
              </w:rPr>
              <w:t xml:space="preserve">Must</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QTO-001</w:t>
            </w:r>
          </w:p>
        </w:tc>
        <w:tc>
          <w:tcPr>
            <w:tcW w:w="1400" w:type="dxa"/>
          </w:tcPr>
          <w:p>
            <w:pPr>
              <w:spacing w:before="50" w:after="50"/>
            </w:pPr>
            <w:r>
              <w:rPr>
                <w:color w:val="546E7A"/>
                <w:sz w:val="19"/>
              </w:rPr>
              <w:t xml:space="preserve">Quotation</w:t>
            </w:r>
          </w:p>
        </w:tc>
        <w:tc>
          <w:tcPr>
            <w:tcW w:w="3800" w:type="dxa"/>
          </w:tcPr>
          <w:p>
            <w:pPr>
              <w:spacing w:before="50" w:after="50"/>
            </w:pPr>
            <w:r>
              <w:rPr>
                <w:color w:val="546E7A"/>
                <w:sz w:val="19"/>
              </w:rPr>
              <w:t xml:space="preserve">Draft quotation with human release gate</w:t>
            </w:r>
          </w:p>
        </w:tc>
        <w:tc>
          <w:tcPr>
            <w:tcW w:w="1100" w:type="dxa"/>
          </w:tcPr>
          <w:p>
            <w:pPr>
              <w:spacing w:before="50" w:after="50"/>
            </w:pPr>
            <w:r>
              <w:rPr>
                <w:color w:val="546E7A"/>
                <w:sz w:val="19"/>
              </w:rPr>
              <w:t xml:space="preserve">Must</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MON-01</w:t>
            </w:r>
          </w:p>
        </w:tc>
        <w:tc>
          <w:tcPr>
            <w:tcW w:w="1400" w:type="dxa"/>
          </w:tcPr>
          <w:p>
            <w:pPr>
              <w:spacing w:before="50" w:after="50"/>
            </w:pPr>
            <w:r>
              <w:rPr>
                <w:color w:val="546E7A"/>
                <w:sz w:val="19"/>
              </w:rPr>
              <w:t xml:space="preserve">AIITOC</w:t>
            </w:r>
          </w:p>
        </w:tc>
        <w:tc>
          <w:tcPr>
            <w:tcW w:w="3800" w:type="dxa"/>
          </w:tcPr>
          <w:p>
            <w:pPr>
              <w:spacing w:before="50" w:after="50"/>
            </w:pPr>
            <w:r>
              <w:rPr>
                <w:color w:val="546E7A"/>
                <w:sz w:val="19"/>
              </w:rPr>
              <w:t xml:space="preserve">Agent health monitoring dashboard</w:t>
            </w:r>
          </w:p>
        </w:tc>
        <w:tc>
          <w:tcPr>
            <w:tcW w:w="1100" w:type="dxa"/>
          </w:tcPr>
          <w:p>
            <w:pPr>
              <w:spacing w:before="50" w:after="50"/>
            </w:pPr>
            <w:r>
              <w:rPr>
                <w:color w:val="546E7A"/>
                <w:sz w:val="19"/>
              </w:rPr>
              <w:t xml:space="preserve">Should</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r>
        <w:tc>
          <w:tcPr>
            <w:tcW w:w="1000" w:type="dxa"/>
          </w:tcPr>
          <w:p>
            <w:pPr>
              <w:spacing w:before="50" w:after="50"/>
            </w:pPr>
            <w:r>
              <w:rPr>
                <w:color w:val="546E7A"/>
                <w:sz w:val="19"/>
              </w:rPr>
              <w:t xml:space="preserve">FIN-023</w:t>
            </w:r>
          </w:p>
        </w:tc>
        <w:tc>
          <w:tcPr>
            <w:tcW w:w="1400" w:type="dxa"/>
          </w:tcPr>
          <w:p>
            <w:pPr>
              <w:spacing w:before="50" w:after="50"/>
            </w:pPr>
            <w:r>
              <w:rPr>
                <w:color w:val="546E7A"/>
                <w:sz w:val="19"/>
              </w:rPr>
              <w:t xml:space="preserve">Finance</w:t>
            </w:r>
          </w:p>
        </w:tc>
        <w:tc>
          <w:tcPr>
            <w:tcW w:w="3800" w:type="dxa"/>
          </w:tcPr>
          <w:p>
            <w:pPr>
              <w:spacing w:before="50" w:after="50"/>
            </w:pPr>
            <w:r>
              <w:rPr>
                <w:color w:val="546E7A"/>
                <w:sz w:val="19"/>
              </w:rPr>
              <w:t xml:space="preserve">AI petty cash liquidation (see 11.3)</w:t>
            </w:r>
          </w:p>
        </w:tc>
        <w:tc>
          <w:tcPr>
            <w:tcW w:w="1100" w:type="dxa"/>
          </w:tcPr>
          <w:p>
            <w:pPr>
              <w:spacing w:before="50" w:after="50"/>
            </w:pPr>
            <w:r>
              <w:rPr>
                <w:color w:val="546E7A"/>
                <w:sz w:val="19"/>
              </w:rPr>
              <w:t xml:space="preserve">Should</w:t>
            </w:r>
          </w:p>
        </w:tc>
        <w:tc>
          <w:tcPr>
            <w:tcW w:w="1400" w:type="dxa"/>
          </w:tcPr>
          <w:p>
            <w:pPr>
              <w:spacing w:before="50" w:after="50"/>
            </w:pPr>
            <w:r>
              <w:rPr>
                <w:color w:val="546E7A"/>
                <w:sz w:val="19"/>
              </w:rPr>
              <w:t xml:space="preserve">Not Started</w:t>
            </w:r>
          </w:p>
        </w:tc>
        <w:tc>
          <w:tcPr>
            <w:tcW w:w="1000" w:type="dxa"/>
          </w:tcPr>
          <w:p>
            <w:pPr>
              <w:spacing w:before="50" w:after="50"/>
            </w:pPr>
            <w:r>
              <w:rPr>
                <w:color w:val="546E7A"/>
                <w:sz w:val="19"/>
              </w:rPr>
              <w:t xml:space="preserve">—</w:t>
            </w:r>
          </w:p>
        </w:tc>
      </w:tr>
    </w:tbl>
    <w:p>
      <w:pPr>
        <w:spacing w:after="120"/>
      </w:pPr>
    </w:p>
    <w:p>
      <w:pPr>
        <w:pStyle w:val="Heading1"/>
      </w:pPr>
      <w:r>
        <w:t>13. Implementation Phasing</w:t>
      </w:r>
      <w:bookmarkStart w:name="_Toc0014" w:id="14"/>
      <w:bookmarkEnd w:id="14"/>
    </w:p>
    <w:p>
      <w:r>
        <w:t xml:space="preserve">The platform is built in phases — the management layer grows with the workforce it manages. Each phase must be usable on its own.</w:t>
      </w:r>
    </w:p>
    <w:tbl>
      <w:tblPr>
        <w:tblW w:w="5000" w:type="pct"/>
        <w:tblBorders>
          <w:top w:val="single" w:color="263238" w:sz="10"/>
          <w:left w:val="nil"/>
          <w:bottom w:val="single" w:color="263238" w:sz="10"/>
          <w:right w:val="nil"/>
          <w:insideH w:val="single" w:color="D8D2C4" w:sz="4"/>
          <w:insideV w:val="nil"/>
        </w:tblBorders>
      </w:tblPr>
      <w:tblGrid>
        <w:gridCol w:w="2100"/>
        <w:gridCol w:w="5100"/>
        <w:gridCol w:w="2200"/>
      </w:tblGrid>
      <w:tr>
        <w:trPr>
          <w:tblHeader/>
        </w:trPr>
        <w:tc>
          <w:tcPr>
            <w:tcW w:w="2100" w:type="dxa"/>
            <w:shd w:val="clear" w:fill="F2EFE7"/>
          </w:tcPr>
          <w:p>
            <w:pPr>
              <w:spacing w:before="50" w:after="50"/>
            </w:pPr>
            <w:r>
              <w:rPr>
                <w:b/>
                <w:color w:val="263238"/>
                <w:sz w:val="19"/>
              </w:rPr>
              <w:t xml:space="preserve">Phase</w:t>
            </w:r>
          </w:p>
        </w:tc>
        <w:tc>
          <w:tcPr>
            <w:tcW w:w="5100" w:type="dxa"/>
            <w:shd w:val="clear" w:fill="F2EFE7"/>
          </w:tcPr>
          <w:p>
            <w:pPr>
              <w:spacing w:before="50" w:after="50"/>
            </w:pPr>
            <w:r>
              <w:rPr>
                <w:b/>
                <w:color w:val="263238"/>
                <w:sz w:val="19"/>
              </w:rPr>
              <w:t xml:space="preserve">Scope</w:t>
            </w:r>
          </w:p>
        </w:tc>
        <w:tc>
          <w:tcPr>
            <w:tcW w:w="2200" w:type="dxa"/>
            <w:shd w:val="clear" w:fill="F2EFE7"/>
          </w:tcPr>
          <w:p>
            <w:pPr>
              <w:spacing w:before="50" w:after="50"/>
            </w:pPr>
            <w:r>
              <w:rPr>
                <w:b/>
                <w:color w:val="263238"/>
                <w:sz w:val="19"/>
              </w:rPr>
              <w:t xml:space="preserve">Trigger to Begin</w:t>
            </w:r>
          </w:p>
        </w:tc>
      </w:tr>
      <w:tr>
        <w:tc>
          <w:tcPr>
            <w:tcW w:w="2100" w:type="dxa"/>
          </w:tcPr>
          <w:p>
            <w:pPr>
              <w:spacing w:before="50" w:after="50"/>
            </w:pPr>
            <w:r>
              <w:rPr>
                <w:color w:val="546E7A"/>
                <w:sz w:val="19"/>
              </w:rPr>
              <w:t xml:space="preserve">Phase 1 — Foundation</w:t>
            </w:r>
          </w:p>
        </w:tc>
        <w:tc>
          <w:tcPr>
            <w:tcW w:w="5100" w:type="dxa"/>
          </w:tcPr>
          <w:p>
            <w:pPr>
              <w:spacing w:before="50" w:after="50"/>
            </w:pPr>
            <w:r>
              <w:rPr>
                <w:color w:val="546E7A"/>
                <w:sz w:val="19"/>
              </w:rPr>
              <w:t xml:space="preserve">Shared Business Memory (knowledge base); Lead AI + Quotation AI; simple coordination; basic activity logging; automated daily backups; role-based assistant (documents/SOPs)</w:t>
            </w:r>
          </w:p>
        </w:tc>
        <w:tc>
          <w:tcPr>
            <w:tcW w:w="2200" w:type="dxa"/>
          </w:tcPr>
          <w:p>
            <w:pPr>
              <w:spacing w:before="50" w:after="50"/>
            </w:pPr>
            <w:r>
              <w:rPr>
                <w:color w:val="546E7A"/>
                <w:sz w:val="19"/>
              </w:rPr>
              <w:t xml:space="preserve">Now</w:t>
            </w:r>
          </w:p>
        </w:tc>
      </w:tr>
      <w:tr>
        <w:tc>
          <w:tcPr>
            <w:tcW w:w="2100" w:type="dxa"/>
          </w:tcPr>
          <w:p>
            <w:pPr>
              <w:spacing w:before="50" w:after="50"/>
            </w:pPr>
            <w:r>
              <w:rPr>
                <w:color w:val="546E7A"/>
                <w:sz w:val="19"/>
              </w:rPr>
              <w:t xml:space="preserve">Phase 2 — Supervision</w:t>
            </w:r>
          </w:p>
        </w:tc>
        <w:tc>
          <w:tcPr>
            <w:tcW w:w="5100" w:type="dxa"/>
          </w:tcPr>
          <w:p>
            <w:pPr>
              <w:spacing w:before="50" w:after="50"/>
            </w:pPr>
            <w:r>
              <w:rPr>
                <w:color w:val="546E7A"/>
                <w:sz w:val="19"/>
              </w:rPr>
              <w:t xml:space="preserve">Monitoring dashboard; agent health checks; risk scoring with escalation matrix (30-day learning mode); decision-level matrix enforced; live-data assistant features</w:t>
            </w:r>
          </w:p>
        </w:tc>
        <w:tc>
          <w:tcPr>
            <w:tcW w:w="2200" w:type="dxa"/>
          </w:tcPr>
          <w:p>
            <w:pPr>
              <w:spacing w:before="50" w:after="50"/>
            </w:pPr>
            <w:r>
              <w:rPr>
                <w:color w:val="546E7A"/>
                <w:sz w:val="19"/>
              </w:rPr>
              <w:t xml:space="preserve">When 3–5 agents are live</w:t>
            </w:r>
          </w:p>
        </w:tc>
      </w:tr>
      <w:tr>
        <w:tc>
          <w:tcPr>
            <w:tcW w:w="2100" w:type="dxa"/>
          </w:tcPr>
          <w:p>
            <w:pPr>
              <w:spacing w:before="50" w:after="50"/>
            </w:pPr>
            <w:r>
              <w:rPr>
                <w:color w:val="546E7A"/>
                <w:sz w:val="19"/>
              </w:rPr>
              <w:t xml:space="preserve">Phase 3 — Full Governance</w:t>
            </w:r>
          </w:p>
        </w:tc>
        <w:tc>
          <w:tcPr>
            <w:tcW w:w="5100" w:type="dxa"/>
          </w:tcPr>
          <w:p>
            <w:pPr>
              <w:spacing w:before="50" w:after="50"/>
            </w:pPr>
            <w:r>
              <w:rPr>
                <w:color w:val="546E7A"/>
                <w:sz w:val="19"/>
              </w:rPr>
              <w:t xml:space="preserve">Prompt version control suite; learning management with annual rule reviews; per-agent performance KPIs; full AIITOC automation</w:t>
            </w:r>
          </w:p>
        </w:tc>
        <w:tc>
          <w:tcPr>
            <w:tcW w:w="2200" w:type="dxa"/>
          </w:tcPr>
          <w:p>
            <w:pPr>
              <w:spacing w:before="50" w:after="50"/>
            </w:pPr>
            <w:r>
              <w:rPr>
                <w:color w:val="546E7A"/>
                <w:sz w:val="19"/>
              </w:rPr>
              <w:t xml:space="preserve">When agents handle money or client communication daily</w:t>
            </w:r>
          </w:p>
        </w:tc>
      </w:tr>
    </w:tbl>
    <w:p>
      <w:pPr>
        <w:spacing w:after="120"/>
      </w:pPr>
    </w:p>
    <w:p>
      <w:pPr>
        <w:pStyle w:val="Heading1"/>
      </w:pPr>
      <w:r>
        <w:t>14. v1.1 Backlog &amp; Framework Review</w:t>
      </w:r>
      <w:bookmarkStart w:name="_Toc0015" w:id="15"/>
      <w:bookmarkEnd w:id="15"/>
    </w:p>
    <w:p>
      <w:r>
        <w:t xml:space="preserve">The freeze is on the framework, not on thinking. Any stakeholder — directors, developers, OJTs, or the AI itself — may log an idea in the v1.1 Backlog. Backlog items are not debated into v1.0; they are reviewed quarterly and adopted, scheduled, or rejected through the Proposed Change workflow (Section 9). This is how the platform stays stable and keeps improving at the same time.</w:t>
      </w:r>
    </w:p>
    <w:p>
      <w:pPr>
        <w:pStyle w:val="Heading1"/>
      </w:pPr>
      <w:r>
        <w:t>15. Glossary</w:t>
      </w:r>
      <w:bookmarkStart w:name="_Toc0016" w:id="16"/>
      <w:bookmarkEnd w:id="16"/>
    </w:p>
    <w:tbl>
      <w:tblPr>
        <w:tblW w:w="5000" w:type="pct"/>
        <w:tblBorders>
          <w:top w:val="single" w:color="263238" w:sz="10"/>
          <w:left w:val="nil"/>
          <w:bottom w:val="single" w:color="263238" w:sz="10"/>
          <w:right w:val="nil"/>
          <w:insideH w:val="single" w:color="D8D2C4" w:sz="4"/>
          <w:insideV w:val="nil"/>
        </w:tblBorders>
      </w:tblPr>
      <w:tblGrid>
        <w:gridCol w:w="2600"/>
        <w:gridCol w:w="6800"/>
      </w:tblGrid>
      <w:tr>
        <w:trPr>
          <w:tblHeader/>
        </w:trPr>
        <w:tc>
          <w:tcPr>
            <w:tcW w:w="2600" w:type="dxa"/>
            <w:shd w:val="clear" w:fill="F2EFE7"/>
          </w:tcPr>
          <w:p>
            <w:pPr>
              <w:spacing w:before="50" w:after="50"/>
            </w:pPr>
            <w:r>
              <w:rPr>
                <w:b/>
                <w:color w:val="263238"/>
                <w:sz w:val="19"/>
              </w:rPr>
              <w:t xml:space="preserve">Term</w:t>
            </w:r>
          </w:p>
        </w:tc>
        <w:tc>
          <w:tcPr>
            <w:tcW w:w="6800" w:type="dxa"/>
            <w:shd w:val="clear" w:fill="F2EFE7"/>
          </w:tcPr>
          <w:p>
            <w:pPr>
              <w:spacing w:before="50" w:after="50"/>
            </w:pPr>
            <w:r>
              <w:rPr>
                <w:b/>
                <w:color w:val="263238"/>
                <w:sz w:val="19"/>
              </w:rPr>
              <w:t xml:space="preserve">Definition</w:t>
            </w:r>
          </w:p>
        </w:tc>
      </w:tr>
      <w:tr>
        <w:tc>
          <w:tcPr>
            <w:tcW w:w="2600" w:type="dxa"/>
          </w:tcPr>
          <w:p>
            <w:pPr>
              <w:spacing w:before="50" w:after="50"/>
            </w:pPr>
            <w:r>
              <w:rPr>
                <w:color w:val="546E7A"/>
                <w:sz w:val="19"/>
              </w:rPr>
              <w:t xml:space="preserve">AIITOC</w:t>
            </w:r>
          </w:p>
        </w:tc>
        <w:tc>
          <w:tcPr>
            <w:tcW w:w="6800" w:type="dxa"/>
          </w:tcPr>
          <w:p>
            <w:pPr>
              <w:spacing w:before="50" w:after="50"/>
            </w:pPr>
            <w:r>
              <w:rPr>
                <w:color w:val="546E7A"/>
                <w:sz w:val="19"/>
              </w:rPr>
              <w:t xml:space="preserve">AI IT Operations Center — the core module that operates, monitors, and governs all AI agents; the IT department for the AI workforce</w:t>
            </w:r>
          </w:p>
        </w:tc>
      </w:tr>
      <w:tr>
        <w:tc>
          <w:tcPr>
            <w:tcW w:w="2600" w:type="dxa"/>
          </w:tcPr>
          <w:p>
            <w:pPr>
              <w:spacing w:before="50" w:after="50"/>
            </w:pPr>
            <w:r>
              <w:rPr>
                <w:color w:val="546E7A"/>
                <w:sz w:val="19"/>
              </w:rPr>
              <w:t xml:space="preserve">ATO</w:t>
            </w:r>
          </w:p>
        </w:tc>
        <w:tc>
          <w:tcPr>
            <w:tcW w:w="6800" w:type="dxa"/>
          </w:tcPr>
          <w:p>
            <w:pPr>
              <w:spacing w:before="50" w:after="50"/>
            </w:pPr>
            <w:r>
              <w:rPr>
                <w:color w:val="546E7A"/>
                <w:sz w:val="19"/>
              </w:rPr>
              <w:t xml:space="preserve">AI Task Orchestrator — the engine inside the AIITOC that routes all inter-agent communication (hub-and-spoke)</w:t>
            </w:r>
          </w:p>
        </w:tc>
      </w:tr>
      <w:tr>
        <w:tc>
          <w:tcPr>
            <w:tcW w:w="2600" w:type="dxa"/>
          </w:tcPr>
          <w:p>
            <w:pPr>
              <w:spacing w:before="50" w:after="50"/>
            </w:pPr>
            <w:r>
              <w:rPr>
                <w:color w:val="546E7A"/>
                <w:sz w:val="19"/>
              </w:rPr>
              <w:t xml:space="preserve">Agent</w:t>
            </w:r>
          </w:p>
        </w:tc>
        <w:tc>
          <w:tcPr>
            <w:tcW w:w="6800" w:type="dxa"/>
          </w:tcPr>
          <w:p>
            <w:pPr>
              <w:spacing w:before="50" w:after="50"/>
            </w:pPr>
            <w:r>
              <w:rPr>
                <w:color w:val="546E7A"/>
                <w:sz w:val="19"/>
              </w:rPr>
              <w:t xml:space="preserve">A specialized AI employee with a defined scope, permissions, and a named human owner</w:t>
            </w:r>
          </w:p>
        </w:tc>
      </w:tr>
      <w:tr>
        <w:tc>
          <w:tcPr>
            <w:tcW w:w="2600" w:type="dxa"/>
          </w:tcPr>
          <w:p>
            <w:pPr>
              <w:spacing w:before="50" w:after="50"/>
            </w:pPr>
            <w:r>
              <w:rPr>
                <w:color w:val="546E7A"/>
                <w:sz w:val="19"/>
              </w:rPr>
              <w:t xml:space="preserve">Shared Business Memory</w:t>
            </w:r>
          </w:p>
        </w:tc>
        <w:tc>
          <w:tcPr>
            <w:tcW w:w="6800" w:type="dxa"/>
          </w:tcPr>
          <w:p>
            <w:pPr>
              <w:spacing w:before="50" w:after="50"/>
            </w:pPr>
            <w:r>
              <w:rPr>
                <w:color w:val="546E7A"/>
                <w:sz w:val="19"/>
              </w:rPr>
              <w:t xml:space="preserve">The single company knowledge base all authorized agents read from</w:t>
            </w:r>
          </w:p>
        </w:tc>
      </w:tr>
      <w:tr>
        <w:tc>
          <w:tcPr>
            <w:tcW w:w="2600" w:type="dxa"/>
          </w:tcPr>
          <w:p>
            <w:pPr>
              <w:spacing w:before="50" w:after="50"/>
            </w:pPr>
            <w:r>
              <w:rPr>
                <w:color w:val="546E7A"/>
                <w:sz w:val="19"/>
              </w:rPr>
              <w:t xml:space="preserve">Feature Card</w:t>
            </w:r>
          </w:p>
        </w:tc>
        <w:tc>
          <w:tcPr>
            <w:tcW w:w="6800" w:type="dxa"/>
          </w:tcPr>
          <w:p>
            <w:pPr>
              <w:spacing w:before="50" w:after="50"/>
            </w:pPr>
            <w:r>
              <w:rPr>
                <w:color w:val="546E7A"/>
                <w:sz w:val="19"/>
              </w:rPr>
              <w:t xml:space="preserve">The standard 12-field record defining one feature (Section 11.1)</w:t>
            </w:r>
          </w:p>
        </w:tc>
      </w:tr>
      <w:tr>
        <w:tc>
          <w:tcPr>
            <w:tcW w:w="2600" w:type="dxa"/>
          </w:tcPr>
          <w:p>
            <w:pPr>
              <w:spacing w:before="50" w:after="50"/>
            </w:pPr>
            <w:r>
              <w:rPr>
                <w:color w:val="546E7A"/>
                <w:sz w:val="19"/>
              </w:rPr>
              <w:t xml:space="preserve">RTM</w:t>
            </w:r>
          </w:p>
        </w:tc>
        <w:tc>
          <w:tcPr>
            <w:tcW w:w="6800" w:type="dxa"/>
          </w:tcPr>
          <w:p>
            <w:pPr>
              <w:spacing w:before="50" w:after="50"/>
            </w:pPr>
            <w:r>
              <w:rPr>
                <w:color w:val="546E7A"/>
                <w:sz w:val="19"/>
              </w:rPr>
              <w:t xml:space="preserve">Requirements Traceability Matrix — the master punch list of all features and their status</w:t>
            </w:r>
          </w:p>
        </w:tc>
      </w:tr>
      <w:tr>
        <w:tc>
          <w:tcPr>
            <w:tcW w:w="2600" w:type="dxa"/>
          </w:tcPr>
          <w:p>
            <w:pPr>
              <w:spacing w:before="50" w:after="50"/>
            </w:pPr>
            <w:r>
              <w:rPr>
                <w:color w:val="546E7A"/>
                <w:sz w:val="19"/>
              </w:rPr>
              <w:t xml:space="preserve">Definition of Ready</w:t>
            </w:r>
          </w:p>
        </w:tc>
        <w:tc>
          <w:tcPr>
            <w:tcW w:w="6800" w:type="dxa"/>
          </w:tcPr>
          <w:p>
            <w:pPr>
              <w:spacing w:before="50" w:after="50"/>
            </w:pPr>
            <w:r>
              <w:rPr>
                <w:color w:val="546E7A"/>
                <w:sz w:val="19"/>
              </w:rPr>
              <w:t xml:space="preserve">Entry criteria a feature must meet before development starts</w:t>
            </w:r>
          </w:p>
        </w:tc>
      </w:tr>
      <w:tr>
        <w:tc>
          <w:tcPr>
            <w:tcW w:w="2600" w:type="dxa"/>
          </w:tcPr>
          <w:p>
            <w:pPr>
              <w:spacing w:before="50" w:after="50"/>
            </w:pPr>
            <w:r>
              <w:rPr>
                <w:color w:val="546E7A"/>
                <w:sz w:val="19"/>
              </w:rPr>
              <w:t xml:space="preserve">Done Means Done</w:t>
            </w:r>
          </w:p>
        </w:tc>
        <w:tc>
          <w:tcPr>
            <w:tcW w:w="6800" w:type="dxa"/>
          </w:tcPr>
          <w:p>
            <w:pPr>
              <w:spacing w:before="50" w:after="50"/>
            </w:pPr>
            <w:r>
              <w:rPr>
                <w:color w:val="546E7A"/>
                <w:sz w:val="19"/>
              </w:rPr>
              <w:t xml:space="preserve">A feature is complete only when every acceptance criterion passes and a Director signs off</w:t>
            </w:r>
          </w:p>
        </w:tc>
      </w:tr>
      <w:tr>
        <w:tc>
          <w:tcPr>
            <w:tcW w:w="2600" w:type="dxa"/>
          </w:tcPr>
          <w:p>
            <w:pPr>
              <w:spacing w:before="50" w:after="50"/>
            </w:pPr>
            <w:r>
              <w:rPr>
                <w:color w:val="546E7A"/>
                <w:sz w:val="19"/>
              </w:rPr>
              <w:t xml:space="preserve">Compliance Score</w:t>
            </w:r>
          </w:p>
        </w:tc>
        <w:tc>
          <w:tcPr>
            <w:tcW w:w="6800" w:type="dxa"/>
          </w:tcPr>
          <w:p>
            <w:pPr>
              <w:spacing w:before="50" w:after="50"/>
            </w:pPr>
            <w:r>
              <w:rPr>
                <w:color w:val="546E7A"/>
                <w:sz w:val="19"/>
              </w:rPr>
              <w:t xml:space="preserve">Per-module percentage of planned features delivered, with Must-features reported separately</w:t>
            </w:r>
          </w:p>
        </w:tc>
      </w:tr>
      <w:tr>
        <w:tc>
          <w:tcPr>
            <w:tcW w:w="2600" w:type="dxa"/>
          </w:tcPr>
          <w:p>
            <w:pPr>
              <w:spacing w:before="50" w:after="50"/>
            </w:pPr>
            <w:r>
              <w:rPr>
                <w:color w:val="546E7A"/>
                <w:sz w:val="19"/>
              </w:rPr>
              <w:t xml:space="preserve">Risk Score</w:t>
            </w:r>
          </w:p>
        </w:tc>
        <w:tc>
          <w:tcPr>
            <w:tcW w:w="6800" w:type="dxa"/>
          </w:tcPr>
          <w:p>
            <w:pPr>
              <w:spacing w:before="50" w:after="50"/>
            </w:pPr>
            <w:r>
              <w:rPr>
                <w:color w:val="546E7A"/>
                <w:sz w:val="19"/>
              </w:rPr>
              <w:t xml:space="preserve">The AI Security layer's rating of an event, driving the escalation matrix</w:t>
            </w:r>
          </w:p>
        </w:tc>
      </w:tr>
      <w:tr>
        <w:tc>
          <w:tcPr>
            <w:tcW w:w="2600" w:type="dxa"/>
          </w:tcPr>
          <w:p>
            <w:pPr>
              <w:spacing w:before="50" w:after="50"/>
            </w:pPr>
            <w:r>
              <w:rPr>
                <w:color w:val="546E7A"/>
                <w:sz w:val="19"/>
              </w:rPr>
              <w:t xml:space="preserve">Proposed Change</w:t>
            </w:r>
          </w:p>
        </w:tc>
        <w:tc>
          <w:tcPr>
            <w:tcW w:w="6800" w:type="dxa"/>
          </w:tcPr>
          <w:p>
            <w:pPr>
              <w:spacing w:before="50" w:after="50"/>
            </w:pPr>
            <w:r>
              <w:rPr>
                <w:color w:val="546E7A"/>
                <w:sz w:val="19"/>
              </w:rPr>
              <w:t xml:space="preserve">The mandatory record for any system, policy, or rule change before implementation</w:t>
            </w:r>
          </w:p>
        </w:tc>
      </w:tr>
      <w:tr>
        <w:tc>
          <w:tcPr>
            <w:tcW w:w="2600" w:type="dxa"/>
          </w:tcPr>
          <w:p>
            <w:pPr>
              <w:spacing w:before="50" w:after="50"/>
            </w:pPr>
            <w:r>
              <w:rPr>
                <w:color w:val="546E7A"/>
                <w:sz w:val="19"/>
              </w:rPr>
              <w:t xml:space="preserve">Business Rule</w:t>
            </w:r>
          </w:p>
        </w:tc>
        <w:tc>
          <w:tcPr>
            <w:tcW w:w="6800" w:type="dxa"/>
          </w:tcPr>
          <w:p>
            <w:pPr>
              <w:spacing w:before="50" w:after="50"/>
            </w:pPr>
            <w:r>
              <w:rPr>
                <w:color w:val="546E7A"/>
                <w:sz w:val="19"/>
              </w:rPr>
              <w:t xml:space="preserve">A structured company rule (condition → action → owner) with ID, effective date, and annual review</w:t>
            </w:r>
          </w:p>
        </w:tc>
      </w:tr>
      <w:tr>
        <w:tc>
          <w:tcPr>
            <w:tcW w:w="2600" w:type="dxa"/>
          </w:tcPr>
          <w:p>
            <w:pPr>
              <w:spacing w:before="50" w:after="50"/>
            </w:pPr>
            <w:r>
              <w:rPr>
                <w:color w:val="546E7A"/>
                <w:sz w:val="19"/>
              </w:rPr>
              <w:t xml:space="preserve">Least Privilege</w:t>
            </w:r>
          </w:p>
        </w:tc>
        <w:tc>
          <w:tcPr>
            <w:tcW w:w="6800" w:type="dxa"/>
          </w:tcPr>
          <w:p>
            <w:pPr>
              <w:spacing w:before="50" w:after="50"/>
            </w:pPr>
            <w:r>
              <w:rPr>
                <w:color w:val="546E7A"/>
                <w:sz w:val="19"/>
              </w:rPr>
              <w:t xml:space="preserve">No user or agent accesses more than its role requires</w:t>
            </w:r>
          </w:p>
        </w:tc>
      </w:tr>
      <w:tr>
        <w:tc>
          <w:tcPr>
            <w:tcW w:w="2600" w:type="dxa"/>
          </w:tcPr>
          <w:p>
            <w:pPr>
              <w:spacing w:before="50" w:after="50"/>
            </w:pPr>
            <w:r>
              <w:rPr>
                <w:color w:val="546E7A"/>
                <w:sz w:val="19"/>
              </w:rPr>
              <w:t xml:space="preserve">3-2-1 Backup</w:t>
            </w:r>
          </w:p>
        </w:tc>
        <w:tc>
          <w:tcPr>
            <w:tcW w:w="6800" w:type="dxa"/>
          </w:tcPr>
          <w:p>
            <w:pPr>
              <w:spacing w:before="50" w:after="50"/>
            </w:pPr>
            <w:r>
              <w:rPr>
                <w:color w:val="546E7A"/>
                <w:sz w:val="19"/>
              </w:rPr>
              <w:t xml:space="preserve">Three copies, two locations, one offline/immutable</w:t>
            </w:r>
          </w:p>
        </w:tc>
      </w:tr>
      <w:tr>
        <w:tc>
          <w:tcPr>
            <w:tcW w:w="2600" w:type="dxa"/>
          </w:tcPr>
          <w:p>
            <w:pPr>
              <w:spacing w:before="50" w:after="50"/>
            </w:pPr>
            <w:r>
              <w:rPr>
                <w:color w:val="546E7A"/>
                <w:sz w:val="19"/>
              </w:rPr>
              <w:t xml:space="preserve">Learning Mode</w:t>
            </w:r>
          </w:p>
        </w:tc>
        <w:tc>
          <w:tcPr>
            <w:tcW w:w="6800" w:type="dxa"/>
          </w:tcPr>
          <w:p>
            <w:pPr>
              <w:spacing w:before="50" w:after="50"/>
            </w:pPr>
            <w:r>
              <w:rPr>
                <w:color w:val="546E7A"/>
                <w:sz w:val="19"/>
              </w:rPr>
              <w:t xml:space="preserve">First 30 days of AI security monitoring: observe and score, alert only</w:t>
            </w:r>
          </w:p>
        </w:tc>
      </w:tr>
    </w:tbl>
    <w:p>
      <w:pPr>
        <w:spacing w:after="120"/>
      </w:pPr>
    </w:p>
    <w:p>
      <w:pPr>
        <w:sectPr>
          <w:headerReference w:type="default" r:id="R023a18ff242d4df9"/>
          <w:footerReference w:type="default" r:id="R99c25095bf204a1e"/>
          <w:pgSz w:w="11906" w:h="16838"/>
          <w:pgMar w:top="16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68811f5158874f55"/>
                    <a:stretch>
                      <a:fillRect/>
                    </a:stretch>
                  </pic:blipFill>
                  <pic:spPr>
                    <a:xfrm>
                      <a:off x="0" y="0"/>
                      <a:ext cx="7560000" cy="10692000"/>
                    </a:xfrm>
                    <a:prstGeom prst="rect"/>
                  </pic:spPr>
                </pic:pic>
              </a:graphicData>
            </a:graphic>
          </wp:anchor>
        </w:drawing>
      </w:r>
    </w:p>
    <w:p>
      <w:pPr>
        <w:spacing w:before="8900" w:after="0"/>
        <w:jc w:val="center"/>
      </w:pPr>
      <w:r>
        <w:rPr>
          <w:color w:val="FFFFFF"/>
          <w:spacing w:val="20"/>
          <w:sz w:val="30"/>
        </w:rPr>
        <w:t xml:space="preserve">“AI assists. AI analyzes. AI recommends.</w:t>
      </w:r>
    </w:p>
    <w:p>
      <w:pPr>
        <w:spacing w:before="80" w:after="0"/>
        <w:jc w:val="center"/>
      </w:pPr>
      <w:r>
        <w:rPr>
          <w:color w:val="FFFFFF"/>
          <w:spacing w:val="20"/>
          <w:sz w:val="30"/>
        </w:rPr>
        <w:t xml:space="preserve">AI automates approved workflows.”</w:t>
      </w:r>
    </w:p>
    <w:p>
      <w:pPr>
        <w:spacing w:before="500" w:after="0"/>
        <w:jc w:val="center"/>
      </w:pPr>
      <w:r>
        <w:rPr>
          <w:b/>
          <w:color w:val="D4AF5A"/>
          <w:spacing w:val="40"/>
          <w:sz w:val="22"/>
        </w:rPr>
        <w:t xml:space="preserve">Humans remain accountable.</w:t>
      </w:r>
    </w:p>
    <w:p>
      <w:pPr>
        <w:spacing w:before="1900" w:after="0"/>
        <w:jc w:val="center"/>
      </w:pPr>
      <w:r>
        <w:rPr>
          <w:color w:val="78909C"/>
          <w:sz w:val="17"/>
        </w:rPr>
        <w:t xml:space="preserve">AA2000 Security and Technology Solutions  ·  Internal &amp; Confidential</w:t>
      </w:r>
    </w:p>
    <w:sectPr>
      <w:headerReference w:type="default" r:id="R546f7e520ad44d64"/>
      <w:footerReference w:type="default" r:id="R99bc68cb3ea74652"/>
      <w:pgSz w:w="11906" w:h="16838"/>
      <w:pgMar w:top="0" w:right="0" w:bottom="0" w:left="0" w:header="0" w:footer="0"/>
    </w:sectPr>
  </w:body>
</w:document>
</file>

<file path=word/footer1.xml><?xml version="1.0" encoding="utf-8"?>
<w:ftr xmlns:w="http://schemas.openxmlformats.org/wordprocessingml/2006/main">
  <w:p>
    <w:pPr>
      <w:jc w:val="center"/>
    </w:pPr>
    <w:r>
      <w:rPr>
        <w:color w:val="78909C"/>
        <w:sz w:val="17"/>
      </w:rPr>
      <w:t xml:space="preserve">—  </w:t>
    </w:r>
    <w:r>
      <w:rPr>
        <w:color w:val="78909C"/>
        <w:sz w:val="17"/>
      </w:rPr>
      <w:fldChar w:fldCharType="begin"/>
    </w:r>
    <w:r>
      <w:rPr>
        <w:color w:val="78909C"/>
        <w:sz w:val="17"/>
      </w:rPr>
      <w:instrText xml:space="preserve"> PAGE </w:instrText>
    </w:r>
    <w:r>
      <w:rPr>
        <w:color w:val="78909C"/>
        <w:sz w:val="17"/>
      </w:rPr>
      <w:fldChar w:fldCharType="separate"/>
    </w:r>
    <w:r>
      <w:rPr>
        <w:color w:val="78909C"/>
        <w:sz w:val="17"/>
      </w:rPr>
      <w:t>1</w:t>
    </w:r>
    <w:r>
      <w:rPr>
        <w:color w:val="78909C"/>
        <w:sz w:val="17"/>
      </w:rPr>
      <w:fldChar w:fldCharType="end"/>
    </w:r>
    <w:r>
      <w:rPr>
        <w:color w:val="78909C"/>
        <w:sz w:val="17"/>
      </w:rPr>
      <w:t xml:space="preserve"> of </w:t>
    </w:r>
    <w:r>
      <w:rPr>
        <w:color w:val="78909C"/>
        <w:sz w:val="17"/>
      </w:rPr>
      <w:fldChar w:fldCharType="begin"/>
    </w:r>
    <w:r>
      <w:rPr>
        <w:color w:val="78909C"/>
        <w:sz w:val="17"/>
      </w:rPr>
      <w:instrText xml:space="preserve"> NUMPAGES </w:instrText>
    </w:r>
    <w:r>
      <w:rPr>
        <w:color w:val="78909C"/>
        <w:sz w:val="17"/>
      </w:rPr>
      <w:fldChar w:fldCharType="separate"/>
    </w:r>
    <w:r>
      <w:rPr>
        <w:color w:val="78909C"/>
        <w:sz w:val="17"/>
      </w:rPr>
      <w:t>1</w:t>
    </w:r>
    <w:r>
      <w:rPr>
        <w:color w:val="78909C"/>
        <w:sz w:val="17"/>
      </w:rPr>
      <w:fldChar w:fldCharType="end"/>
    </w:r>
    <w:r>
      <w:rPr>
        <w:color w:val="78909C"/>
        <w:sz w:val="17"/>
      </w:rPr>
      <w:t xml:space="preserve">  —</w:t>
    </w:r>
  </w:p>
</w:ftr>
</file>

<file path=word/footer2.xml><?xml version="1.0" encoding="utf-8"?>
<w:ftr xmlns:w="http://schemas.openxmlformats.org/wordprocessingml/2006/main">
  <w:p>
    <w:r/>
  </w:p>
</w:ftr>
</file>

<file path=word/header1.xml><?xml version="1.0" encoding="utf-8"?>
<w:hdr xmlns:w="http://schemas.openxmlformats.org/wordprocessingml/2006/main">
  <w:p>
    <w:pPr>
      <w:pBdr>
        <w:bottom w:val="single" w:color="D8D2C4" w:sz="4"/>
      </w:pBdr>
      <w:tabs>
        <w:tab w:val="right" w:pos="9026"/>
      </w:tabs>
      <w:spacing w:after="0"/>
    </w:pPr>
    <w:r>
      <w:rPr>
        <w:b/>
        <w:color w:val="78909C"/>
        <w:sz w:val="17"/>
      </w:rPr>
      <w:t>AA2000 DOS BUSINESS OS — GOVERNANCE FRAMEWORK</w:t>
    </w:r>
    <w:r>
      <w:rPr>
        <w:color w:val="78909C"/>
        <w:sz w:val="17"/>
      </w:rPr>
      <w:tab/>
    </w:r>
    <w:r>
      <w:rPr>
        <w:color w:val="78909C"/>
        <w:sz w:val="17"/>
      </w:rPr>
      <w:t>v1.0 · Internal &amp; Confidential</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bullet"/>
      <w:lvlText w:val="•"/>
      <w:lvlJc w:val="left"/>
      <w:pPr>
        <w:ind w:left="480" w:hanging="28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333A40"/>
      <w:sz w:val="21"/>
    </w:rPr>
  </w:style>
  <w:style w:type="paragraph" w:styleId="Heading1">
    <w:name w:val="heading 1"/>
    <w:basedOn w:val="Normal"/>
    <w:pPr>
      <w:keepNext/>
      <w:keepLines/>
      <w:pBdr>
        <w:bottom w:val="single" w:color="B8860B" w:sz="8" w:space="4"/>
      </w:pBdr>
      <w:spacing w:before="560" w:after="220"/>
      <w:outlineLvl w:val="0"/>
    </w:pPr>
    <w:rPr>
      <w:rFonts w:ascii="Calibri" w:hAnsi="Calibri" w:eastAsia="Microsoft YaHei"/>
      <w:b/>
      <w:color w:val="263238"/>
      <w:sz w:val="32"/>
    </w:rPr>
  </w:style>
  <w:style w:type="paragraph" w:styleId="Heading2">
    <w:name w:val="heading 2"/>
    <w:basedOn w:val="Normal"/>
    <w:pPr>
      <w:keepNext/>
      <w:keepLines/>
      <w:spacing w:before="380" w:after="160"/>
      <w:outlineLvl w:val="1"/>
    </w:pPr>
    <w:rPr>
      <w:rFonts w:ascii="Calibri" w:hAnsi="Calibri" w:eastAsia="Microsoft YaHei"/>
      <w:b/>
      <w:color w:val="37474F"/>
      <w:sz w:val="26"/>
    </w:rPr>
  </w:style>
  <w:style w:type="paragraph" w:styleId="Heading3">
    <w:name w:val="heading 3"/>
    <w:basedOn w:val="Normal"/>
    <w:pPr>
      <w:keepNext/>
      <w:keepLines/>
      <w:spacing w:before="300" w:after="140"/>
      <w:outlineLvl w:val="2"/>
    </w:pPr>
    <w:rPr>
      <w:rFonts w:ascii="Calibri" w:hAnsi="Calibri" w:eastAsia="Microsoft YaHei"/>
      <w:b/>
      <w:color w:val="546E7A"/>
      <w:sz w:val="22"/>
    </w:rPr>
  </w:style>
  <w:style w:type="paragraph" w:styleId="Caption">
    <w:name w:val="Caption"/>
    <w:basedOn w:val="Normal"/>
    <w:pPr>
      <w:spacing w:before="60" w:after="320"/>
      <w:jc w:val="center"/>
    </w:pPr>
    <w:rPr>
      <w:color w:val="78909C"/>
      <w:sz w:val="19"/>
    </w:rPr>
  </w:style>
  <w:style w:type="paragraph" w:styleId="TOC1">
    <w:name w:val="toc 1"/>
    <w:basedOn w:val="Normal"/>
    <w:pPr>
      <w:tabs>
        <w:tab w:val="right" w:leader="dot" w:pos="9026"/>
      </w:tabs>
      <w:spacing w:before="180" w:after="50"/>
      <w:ind w:left="0"/>
    </w:pPr>
    <w:rPr>
      <w:b/>
      <w:color w:val="263238"/>
      <w:sz w:val="20"/>
    </w:rPr>
  </w:style>
  <w:style w:type="paragraph" w:styleId="TOC2">
    <w:name w:val="toc 2"/>
    <w:basedOn w:val="Normal"/>
    <w:pPr>
      <w:tabs>
        <w:tab w:val="right" w:leader="dot" w:pos="9026"/>
      </w:tabs>
      <w:spacing w:before="40" w:after="50"/>
      <w:ind w:left="420"/>
    </w:pPr>
    <w:rPr>
      <w:color w:val="546E7A"/>
      <w:sz w:val="20"/>
    </w:rPr>
  </w:style>
</w:styles>
</file>

<file path=word/_rels/document.xml.rels><?xml version='1.0' encoding='UTF-8'?>
<Relationships xmlns="http://schemas.openxmlformats.org/package/2006/relationships"><Relationship Type="http://schemas.openxmlformats.org/officeDocument/2006/relationships/styles" Target="styles.xml" Id="R67e37b89dff34312" /><Relationship Type="http://schemas.openxmlformats.org/officeDocument/2006/relationships/numbering" Target="numbering.xml" Id="Rf9d25d15008045d5" /><Relationship Type="http://schemas.openxmlformats.org/officeDocument/2006/relationships/image" Target="media/image.png" Id="R882dc57c10db4d04" /><Relationship Type="http://schemas.openxmlformats.org/officeDocument/2006/relationships/image" Target="media/image2.png" Id="R68811f5158874f55" /><Relationship Type="http://schemas.openxmlformats.org/officeDocument/2006/relationships/header" Target="header1.xml" Id="R023a18ff242d4df9" /><Relationship Type="http://schemas.openxmlformats.org/officeDocument/2006/relationships/footer" Target="footer1.xml" Id="R99c25095bf204a1e" /><Relationship Type="http://schemas.openxmlformats.org/officeDocument/2006/relationships/header" Target="header2.xml" Id="R546f7e520ad44d64" /><Relationship Type="http://schemas.openxmlformats.org/officeDocument/2006/relationships/footer" Target="footer2.xml" Id="R99bc68cb3ea74652" /><Relationship Type="http://schemas.openxmlformats.org/officeDocument/2006/relationships/settings" Target="settings.xml" Id="Ra6f8ede794f24036" /></Relationships>
</file>