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4.8 Simulation Results and Discussion (Generated)</w:t>
      </w:r>
    </w:p>
    <w:p>
      <w:pPr>
        <w:pStyle w:val="Heading1"/>
      </w:pPr>
      <w:r>
        <w:t>DRSRS Simulation Results (Chapter 4.8 Replacement)</w:t>
      </w:r>
    </w:p>
    <w:p>
      <w:r>
        <w:t>This document replaces the report placeholders that stated</w:t>
      </w:r>
    </w:p>
    <w:p>
      <w:r>
        <w:t>*"Insert your group's actual simulation output here"*.</w:t>
      </w:r>
    </w:p>
    <w:p>
      <w:pPr>
        <w:pStyle w:val="Heading2"/>
      </w:pPr>
      <w:r>
        <w:t>Configuration</w:t>
      </w:r>
    </w:p>
    <w:p>
      <w:r>
        <w:t>|-----------|-------|</w:t>
      </w:r>
    </w:p>
    <w:p>
      <w:pPr>
        <w:pStyle w:val="Heading2"/>
      </w:pPr>
      <w:r>
        <w:t>4.8.1 Availability Results</w:t>
      </w:r>
    </w:p>
    <w:p>
      <w:r>
        <w:t>**Analytical (Section 4.3):** system availability</w:t>
      </w:r>
    </w:p>
    <w:p>
      <w:r>
        <w:t>A_system = A_network × A_app × A_shard ≈ **0.998500**</w:t>
      </w:r>
    </w:p>
    <w:p>
      <w:r>
        <w:t>(99.8500%), corresponding to roughly</w:t>
      </w:r>
    </w:p>
    <w:p>
      <w:r>
        <w:t>**13.14 hours** of downtime per year.</w:t>
      </w:r>
    </w:p>
    <w:p>
      <w:r>
        <w:t>As predicted, the network (0.9995) and application (0.999)</w:t>
      </w:r>
    </w:p>
    <w:p>
      <w:r>
        <w:t>layers dominate over the highly redundant database tier</w:t>
      </w:r>
    </w:p>
    <w:p>
      <w:r>
        <w:t>(A_shard ≈ 1.00000000).</w:t>
      </w:r>
    </w:p>
    <w:p>
      <w:r>
        <w:t>**Simulated (database tier):** across 40 Monte Carlo trials of</w:t>
      </w:r>
    </w:p>
    <w:p>
      <w:r>
        <w:t>2.0 simulated years each, mean *database* availability</w:t>
      </w:r>
    </w:p>
    <w:p>
      <w:r>
        <w:t>(every shard has ≥1 reachable replica — Section 3.5 metric) was</w:t>
      </w:r>
    </w:p>
    <w:p>
      <w:r>
        <w:t>**100.00000000%** (std = 0.000000 pp).</w:t>
      </w:r>
    </w:p>
    <w:p>
      <w:r>
        <w:t>Composing with the network and application layers as in Section 4.3 gives</w:t>
      </w:r>
    </w:p>
    <w:p>
      <w:r>
        <w:t>end-to-end availability</w:t>
      </w:r>
    </w:p>
    <w:p>
      <w:r>
        <w:t>**A_e2e = A_network × A_app × A_db ≈ 99.850050%**,</w:t>
      </w:r>
    </w:p>
    <w:p>
      <w:r>
        <w:t>or about **13.14 hours/year** of end-to-end downtime — close to</w:t>
      </w:r>
    </w:p>
    <w:p>
      <w:r>
        <w:t>the analytical prediction of 99.8500%.</w:t>
      </w:r>
    </w:p>
    <w:p>
      <w:r>
        <w:t>Mean quorum availability was **99.999395%**</w:t>
      </w:r>
    </w:p>
    <w:p>
      <w:r>
        <w:t>(analytical: 99.999701%).</w:t>
      </w:r>
    </w:p>
    <w:p>
      <w:r>
        <w:t>The DES intentionally models database/coordination failures and disasters;</w:t>
      </w:r>
    </w:p>
    <w:p>
      <w:r>
        <w:t>network and application availability enter via the series product so that</w:t>
      </w:r>
    </w:p>
    <w:p>
      <w:r>
        <w:t>results remain comparable to Section 4.3.</w:t>
      </w:r>
    </w:p>
    <w:p>
      <w:r>
        <w:t>See figures: `availability_histogram.png`, `availability_boxplot.png`,</w:t>
      </w:r>
    </w:p>
    <w:p>
      <w:r>
        <w:t>`analytical_vs_simulated.png`.</w:t>
      </w:r>
    </w:p>
    <w:p>
      <w:pPr>
        <w:pStyle w:val="Heading2"/>
      </w:pPr>
      <w:r>
        <w:t>4.8.2 Data-Loss Results</w:t>
      </w:r>
    </w:p>
    <w:p>
      <w:r>
        <w:t>**Analytical (corrected correlated-domain model, Section 4.5):**</w:t>
      </w:r>
    </w:p>
    <w:p>
      <w:r>
        <w:t>P_loss = p1 × p2^k2 = **1.000e-07** per year for the</w:t>
      </w:r>
    </w:p>
    <w:p>
      <w:r>
        <w:t>baseline (k1=2, k2=1,</w:t>
      </w:r>
    </w:p>
    <w:p>
      <w:r>
        <w:t>p1=0.001, p2=0.0001).</w:t>
      </w:r>
    </w:p>
    <w:p>
      <w:r>
        <w:t>**Simulated:** mean permanent data-loss rate =</w:t>
      </w:r>
    </w:p>
    <w:p>
      <w:r>
        <w:t>**0.000e+00** events per shard·year.</w:t>
      </w:r>
    </w:p>
    <w:p>
      <w:r>
        <w:t>Sensitivity runs confirm the hybrid-cloud thesis:</w:t>
      </w:r>
    </w:p>
    <w:p>
      <w:r>
        <w:t>|---------------|----------------------------------|</w:t>
      </w:r>
    </w:p>
    <w:p>
      <w:r>
        <w:t>Adding a single independent cloud replica reduces empirical loss risk by</w:t>
      </w:r>
    </w:p>
    <w:p>
      <w:r>
        <w:t>orders of magnitude relative to campus-only replication, matching the</w:t>
      </w:r>
    </w:p>
    <w:p>
      <w:r>
        <w:t>narrative of Section 4.5. See `data_loss_sensitivity.png` and</w:t>
      </w:r>
    </w:p>
    <w:p>
      <w:r>
        <w:t>`data_loss_analytical.png`.</w:t>
      </w:r>
    </w:p>
    <w:p>
      <w:pPr>
        <w:pStyle w:val="Heading2"/>
      </w:pPr>
      <w:r>
        <w:t>4.8.3 Latency and Access Results</w:t>
      </w:r>
    </w:p>
    <w:p>
      <w:r>
        <w:t>Queue utilisation ρ = λ/(cμ) = **0.6250** with</w:t>
      </w:r>
    </w:p>
    <w:p>
      <w:r>
        <w:t>λ=50.0, μ=20.0, c=4.</w:t>
      </w:r>
    </w:p>
    <w:p>
      <w:r>
        <w:t>Erlang-C P_wait ≈ **0.3199**; analytical mean response ≈</w:t>
      </w:r>
    </w:p>
    <w:p>
      <w:r>
        <w:t>**60.66 ms**.</w:t>
      </w:r>
    </w:p>
    <w:p>
      <w:r>
        <w:t>Simulation: mean response **49.83 ms**</w:t>
      </w:r>
    </w:p>
    <w:p>
      <w:r>
        <w:t>(p95 of trial means: 148.96 ms);</w:t>
      </w:r>
    </w:p>
    <w:p>
      <w:r>
        <w:t>fraction of requests meeting the 200 ms SLO ≈ **98.24%**</w:t>
      </w:r>
    </w:p>
    <w:p>
      <w:r>
        <w:t>(analytical ≈ 97.16%).</w:t>
      </w:r>
    </w:p>
    <w:p>
      <w:r>
        <w:t>As ρ approaches 1, P_wait and response time grow sharply</w:t>
      </w:r>
    </w:p>
    <w:p>
      <w:r>
        <w:t>(`queueing_vs_load.png`), justifying the provisioned thread count.</w:t>
      </w:r>
    </w:p>
    <w:p>
      <w:pPr>
        <w:pStyle w:val="Heading2"/>
      </w:pPr>
      <w:r>
        <w:t>4.8.4 Sensitivity Analysis</w:t>
      </w:r>
    </w:p>
    <w:p>
      <w:r>
        <w:t>Varying k1, k2, and λ_d shows:</w:t>
      </w:r>
    </w:p>
    <w:p>
      <w:r>
        <w:t>1. **P_loss is far more sensitive to k2** (independent domain) than to k1</w:t>
      </w:r>
    </w:p>
    <w:p>
      <w:r>
        <w:t xml:space="preserve">   (correlated campus replicas).</w:t>
      </w:r>
    </w:p>
    <w:p>
      <w:r>
        <w:t>2. Increasing λ_d reduces availability roughly linearly at the rates studied</w:t>
      </w:r>
    </w:p>
    <w:p>
      <w:r>
        <w:t xml:space="preserve">   and raises loss risk when k2 = 0; with k2 ≥ 1, loss remains extremely rare.</w:t>
      </w:r>
    </w:p>
    <w:p>
      <w:r>
        <w:t>3. Availability stays above three nines for the recommended configuration</w:t>
      </w:r>
    </w:p>
    <w:p>
      <w:r>
        <w:t xml:space="preserve">   across the λ_d sweep (0.01–0.20 /year).</w:t>
      </w:r>
    </w:p>
    <w:p>
      <w:r>
        <w:t>Tables: `sensitivity_k1_k2.csv`, `sensitivity_lambda_d.csv`.</w:t>
      </w:r>
    </w:p>
    <w:p>
      <w:r>
        <w:t>Figures: `lambda_d_sensitivity.png`, `availability_heatmap.png`.</w:t>
      </w:r>
    </w:p>
    <w:p>
      <w:pPr>
        <w:pStyle w:val="Heading2"/>
      </w:pPr>
      <w:r>
        <w:t>4.9 Verification Summary</w:t>
      </w:r>
    </w:p>
    <w:p>
      <w:r>
        <w:t>4/4 automated checks passed.</w:t>
      </w:r>
    </w:p>
    <w:p>
      <w:r>
        <w:t>- **[PASS]** Node availability formula MTTF=2000, MTTR=2: analytical=0.999001, simulated=0.999001, |err|=0</w:t>
      </w:r>
    </w:p>
    <w:p>
      <w:r>
        <w:t>- **[PASS]** Quorum formula (n=3, A=0.99) vs worked example: analytical=0.999703, simulated=0.999702, |err|=1e-06</w:t>
      </w:r>
    </w:p>
    <w:p>
      <w:r>
        <w:t>- **[PASS]** Single-node availability (k1=1, λ_d=0): analytical=0.999001, simulated=0.99899569, |err|=5.31e-06</w:t>
      </w:r>
    </w:p>
    <w:p>
      <w:r>
        <w:t>- **[PASS]** Independent 3-replica shard availability (λ_d=0): analytical=1, simulated=1, |err|=9.97e-10</w:t>
      </w:r>
    </w:p>
    <w:p>
      <w:pPr>
        <w:pStyle w:val="Heading2"/>
      </w:pPr>
      <w:r>
        <w:t>Generated figures</w:t>
      </w:r>
    </w:p>
    <w:p>
      <w:r>
        <w:t>- `availability_histogram.png`</w:t>
      </w:r>
    </w:p>
    <w:p>
      <w:r>
        <w:t>- `availability_boxplot.png`</w:t>
      </w:r>
    </w:p>
    <w:p>
      <w:r>
        <w:t>- `reliability_vs_replicas.png`</w:t>
      </w:r>
    </w:p>
    <w:p>
      <w:r>
        <w:t>- `data_loss_sensitivity.png`</w:t>
      </w:r>
    </w:p>
    <w:p>
      <w:r>
        <w:t>- `data_loss_analytical.png`</w:t>
      </w:r>
    </w:p>
    <w:p>
      <w:r>
        <w:t>- `lambda_d_sensitivity.png`</w:t>
      </w:r>
    </w:p>
    <w:p>
      <w:r>
        <w:t>- `latency_distribution.png`</w:t>
      </w:r>
    </w:p>
    <w:p>
      <w:r>
        <w:t>- `queueing_vs_load.png`</w:t>
      </w:r>
    </w:p>
    <w:p>
      <w:r>
        <w:t>- `availability_heatmap.png`</w:t>
      </w:r>
    </w:p>
    <w:p>
      <w:r>
        <w:t>- `analytical_vs_simulated.png`</w:t>
      </w:r>
    </w:p>
    <w:p>
      <w:pPr>
        <w:pStyle w:val="Heading2"/>
      </w:pPr>
      <w:r>
        <w:t>Interpretation for recommendations (Chapter 5)</w:t>
      </w:r>
    </w:p>
    <w:p>
      <w:r>
        <w:t>The simulation empirically supports the Chapter 5 recommendation of</w:t>
      </w:r>
    </w:p>
    <w:p>
      <w:r>
        <w:t>**k1 = 2 synchronous campus replicas**, **≥1 regional async replica**,</w:t>
      </w:r>
    </w:p>
    <w:p>
      <w:r>
        <w:t>**k2 ≥ 1 cloud DR replica**, and a **3-node Raft quorum**. Hybrid-cloud</w:t>
      </w:r>
    </w:p>
    <w:p>
      <w:r>
        <w:t>placement, not additional co-located copies, is the dominant lever for</w:t>
      </w:r>
    </w:p>
    <w:p>
      <w:r>
        <w:t>durability under campus-scale disasters.</w:t>
      </w:r>
    </w:p>
    <w:p>
      <w:r>
        <w:t>availability_histogram.png</w:t>
      </w:r>
    </w:p>
    <w:p>
      <w:r>
        <w:drawing>
          <wp:inline xmlns:a="http://schemas.openxmlformats.org/drawingml/2006/main" xmlns:pic="http://schemas.openxmlformats.org/drawingml/2006/picture">
            <wp:extent cx="5303520" cy="31491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ilability_histo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9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data_loss_sensitivity.png</w:t>
      </w:r>
    </w:p>
    <w:p>
      <w:r>
        <w:drawing>
          <wp:inline xmlns:a="http://schemas.openxmlformats.org/drawingml/2006/main" xmlns:pic="http://schemas.openxmlformats.org/drawingml/2006/picture">
            <wp:extent cx="5303520" cy="32895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loss_sensitiv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89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queueing_vs_load.png</w:t>
      </w:r>
    </w:p>
    <w:p>
      <w:r>
        <w:drawing>
          <wp:inline xmlns:a="http://schemas.openxmlformats.org/drawingml/2006/main" xmlns:pic="http://schemas.openxmlformats.org/drawingml/2006/picture">
            <wp:extent cx="5303520" cy="31407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ueing_vs_lo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0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lambda_d_sensitivity.png</w:t>
      </w:r>
    </w:p>
    <w:p>
      <w:r>
        <w:drawing>
          <wp:inline xmlns:a="http://schemas.openxmlformats.org/drawingml/2006/main" xmlns:pic="http://schemas.openxmlformats.org/drawingml/2006/picture">
            <wp:extent cx="5303520" cy="31470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mbda_d_sensitiv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706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