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uhu0csebnijc" w:id="0"/>
      <w:bookmarkEnd w:id="0"/>
      <w:r w:rsidDel="00000000" w:rsidR="00000000" w:rsidRPr="00000000">
        <w:rPr>
          <w:b w:val="1"/>
          <w:bCs w:val="1"/>
          <w:sz w:val="46"/>
          <w:szCs w:val="46"/>
          <w:rtl w:val="0"/>
        </w:rPr>
        <w:t xml:space="preserve">CHARTE GRAPHIQUE </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ueanmvx66wc" w:id="1"/>
      <w:bookmarkEnd w:id="1"/>
      <w:r w:rsidDel="00000000" w:rsidR="00000000" w:rsidRPr="00000000">
        <w:rPr>
          <w:b w:val="1"/>
          <w:bCs w:val="1"/>
          <w:sz w:val="34"/>
          <w:szCs w:val="34"/>
          <w:rtl w:val="0"/>
        </w:rPr>
        <w:t xml:space="preserve">1.Introduction</w:t>
      </w:r>
    </w:p>
    <w:p w:rsidR="00000000" w:rsidDel="00000000" w:rsidP="00000000" w:rsidRDefault="00000000" w:rsidRPr="00000000" w14:paraId="00000003">
      <w:pPr>
        <w:spacing w:after="240" w:before="240" w:lineRule="auto"/>
        <w:rPr/>
      </w:pPr>
      <w:r w:rsidDel="00000000" w:rsidR="00000000" w:rsidRPr="00000000">
        <w:rPr>
          <w:rtl w:val="0"/>
        </w:rPr>
        <w:t xml:space="preserve">Ce document définit l'identité visuelle et les règles d'interface utilisateur  du site web Mosaïque Yum. L'objectif de ce design system est de garantir une cohérence graphique sur l'ensemble des pages (côté client et côté administration) tout en respectant les standards du web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dj7wm8vil9f" w:id="2"/>
      <w:bookmarkEnd w:id="2"/>
      <w:r w:rsidDel="00000000" w:rsidR="00000000" w:rsidRPr="00000000">
        <w:rPr>
          <w:b w:val="1"/>
          <w:bCs w:val="1"/>
          <w:sz w:val="34"/>
          <w:szCs w:val="34"/>
          <w:rtl w:val="0"/>
        </w:rPr>
        <w:t xml:space="preserve">2. Palette de Couleurs</w:t>
      </w:r>
    </w:p>
    <w:p w:rsidR="00000000" w:rsidDel="00000000" w:rsidP="00000000" w:rsidRDefault="00000000" w:rsidRPr="00000000" w14:paraId="00000005">
      <w:pPr>
        <w:spacing w:after="240" w:before="240" w:lineRule="auto"/>
        <w:rPr/>
      </w:pPr>
      <w:r w:rsidDel="00000000" w:rsidR="00000000" w:rsidRPr="00000000">
        <w:rPr>
          <w:rtl w:val="0"/>
        </w:rPr>
        <w:t xml:space="preserve">Le choix des couleurs a été purement arbitraire, on a choisi ces couleurs car on trouvait que cela donnerait un bon rendu esthétique .</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Rouge Mosaïque (Couleur Primaire) : </w:t>
      </w:r>
      <w:r w:rsidDel="00000000" w:rsidR="00000000" w:rsidRPr="00000000">
        <w:rPr>
          <w:rFonts w:ascii="Roboto Mono" w:cs="Roboto Mono" w:eastAsia="Roboto Mono" w:hAnsi="Roboto Mono"/>
          <w:b w:val="1"/>
          <w:bCs w:val="1"/>
          <w:color w:val="188038"/>
          <w:rtl w:val="0"/>
        </w:rPr>
        <w:t xml:space="preserve">#E30613</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i w:val="1"/>
          <w:iCs w:val="1"/>
          <w:rtl w:val="0"/>
        </w:rPr>
        <w:t xml:space="preserve">Utilisation :</w:t>
      </w:r>
      <w:r w:rsidDel="00000000" w:rsidR="00000000" w:rsidRPr="00000000">
        <w:rPr>
          <w:rtl w:val="0"/>
        </w:rPr>
        <w:t xml:space="preserve"> Titres principaux, bordures de mise en avant, icônes d'action “critique” (ex: problèmes de livraison).</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Jaune Action (Couleur Secondaire) : </w:t>
      </w:r>
      <w:r w:rsidDel="00000000" w:rsidR="00000000" w:rsidRPr="00000000">
        <w:rPr>
          <w:rFonts w:ascii="Roboto Mono" w:cs="Roboto Mono" w:eastAsia="Roboto Mono" w:hAnsi="Roboto Mono"/>
          <w:b w:val="1"/>
          <w:bCs w:val="1"/>
          <w:color w:val="188038"/>
          <w:rtl w:val="0"/>
        </w:rPr>
        <w:t xml:space="preserve">#FFCC00</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i w:val="1"/>
          <w:iCs w:val="1"/>
          <w:rtl w:val="0"/>
        </w:rPr>
        <w:t xml:space="preserve">Utilisation :</w:t>
      </w:r>
      <w:r w:rsidDel="00000000" w:rsidR="00000000" w:rsidRPr="00000000">
        <w:rPr>
          <w:rtl w:val="0"/>
        </w:rPr>
        <w:t xml:space="preserve"> Boutons d'action principaux (Commander, S'inscrire, Se connecter), survol des liens de navigation, soulignement des éléments actifs.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Noir Menu (Couleur de Structure) : </w:t>
      </w:r>
      <w:r w:rsidDel="00000000" w:rsidR="00000000" w:rsidRPr="00000000">
        <w:rPr>
          <w:rFonts w:ascii="Roboto Mono" w:cs="Roboto Mono" w:eastAsia="Roboto Mono" w:hAnsi="Roboto Mono"/>
          <w:b w:val="1"/>
          <w:bCs w:val="1"/>
          <w:color w:val="188038"/>
          <w:rtl w:val="0"/>
        </w:rPr>
        <w:t xml:space="preserve">#1a1a1a</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i w:val="1"/>
          <w:iCs w:val="1"/>
          <w:rtl w:val="0"/>
        </w:rPr>
        <w:t xml:space="preserve">Utilisation :</w:t>
      </w:r>
      <w:r w:rsidDel="00000000" w:rsidR="00000000" w:rsidRPr="00000000">
        <w:rPr>
          <w:rtl w:val="0"/>
        </w:rPr>
        <w:t xml:space="preserve"> Barre de navigation principale (Header), Pied de page (Footer), Titres de tableaux d'administration.</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Gris Fond (Couleur de Fond) : </w:t>
      </w:r>
      <w:r w:rsidDel="00000000" w:rsidR="00000000" w:rsidRPr="00000000">
        <w:rPr>
          <w:rFonts w:ascii="Roboto Mono" w:cs="Roboto Mono" w:eastAsia="Roboto Mono" w:hAnsi="Roboto Mono"/>
          <w:b w:val="1"/>
          <w:bCs w:val="1"/>
          <w:color w:val="188038"/>
          <w:rtl w:val="0"/>
        </w:rPr>
        <w:t xml:space="preserve">#f8f8f8</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i w:val="1"/>
          <w:iCs w:val="1"/>
          <w:rtl w:val="0"/>
        </w:rPr>
        <w:t xml:space="preserve">Utilisation :</w:t>
      </w:r>
      <w:r w:rsidDel="00000000" w:rsidR="00000000" w:rsidRPr="00000000">
        <w:rPr>
          <w:rtl w:val="0"/>
        </w:rPr>
        <w:t xml:space="preserve"> Fond global de toutes les pages.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Gris Bordure (Couleur de Séparation) : </w:t>
      </w:r>
      <w:r w:rsidDel="00000000" w:rsidR="00000000" w:rsidRPr="00000000">
        <w:rPr>
          <w:rFonts w:ascii="Roboto Mono" w:cs="Roboto Mono" w:eastAsia="Roboto Mono" w:hAnsi="Roboto Mono"/>
          <w:b w:val="1"/>
          <w:bCs w:val="1"/>
          <w:color w:val="188038"/>
          <w:rtl w:val="0"/>
        </w:rPr>
        <w:t xml:space="preserve">#CCCCCC</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i w:val="1"/>
          <w:iCs w:val="1"/>
          <w:rtl w:val="0"/>
        </w:rPr>
        <w:t xml:space="preserve">Utilisation :</w:t>
      </w:r>
      <w:r w:rsidDel="00000000" w:rsidR="00000000" w:rsidRPr="00000000">
        <w:rPr>
          <w:rtl w:val="0"/>
        </w:rPr>
        <w:t xml:space="preserve"> Bordures des champs de formulaires, séparateurs de sections.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Texte Sombre (Couleur de Lecture) : </w:t>
      </w:r>
      <w:r w:rsidDel="00000000" w:rsidR="00000000" w:rsidRPr="00000000">
        <w:rPr>
          <w:rFonts w:ascii="Roboto Mono" w:cs="Roboto Mono" w:eastAsia="Roboto Mono" w:hAnsi="Roboto Mono"/>
          <w:b w:val="1"/>
          <w:bCs w:val="1"/>
          <w:color w:val="188038"/>
          <w:rtl w:val="0"/>
        </w:rPr>
        <w:t xml:space="preserve">#333333</w:t>
      </w:r>
    </w:p>
    <w:p w:rsidR="00000000" w:rsidDel="00000000" w:rsidP="00000000" w:rsidRDefault="00000000" w:rsidRPr="00000000" w14:paraId="00000011">
      <w:pPr>
        <w:numPr>
          <w:ilvl w:val="1"/>
          <w:numId w:val="3"/>
        </w:numPr>
        <w:spacing w:after="240" w:before="0" w:beforeAutospacing="0" w:lineRule="auto"/>
        <w:ind w:left="1440" w:hanging="360"/>
      </w:pPr>
      <w:r w:rsidDel="00000000" w:rsidR="00000000" w:rsidRPr="00000000">
        <w:rPr>
          <w:i w:val="1"/>
          <w:iCs w:val="1"/>
          <w:rtl w:val="0"/>
        </w:rPr>
        <w:t xml:space="preserve">Utilisation :</w:t>
      </w:r>
      <w:r w:rsidDel="00000000" w:rsidR="00000000" w:rsidRPr="00000000">
        <w:rPr>
          <w:rtl w:val="0"/>
        </w:rPr>
        <w:t xml:space="preserve"> Paragraphes, labels, informations globales.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mg5bkz91t0yq" w:id="3"/>
      <w:bookmarkEnd w:id="3"/>
      <w:r w:rsidDel="00000000" w:rsidR="00000000" w:rsidRPr="00000000">
        <w:rPr>
          <w:b w:val="1"/>
          <w:bCs w:val="1"/>
          <w:sz w:val="34"/>
          <w:szCs w:val="34"/>
          <w:rtl w:val="0"/>
        </w:rPr>
        <w:t xml:space="preserve">3. Typographie</w:t>
      </w:r>
    </w:p>
    <w:p w:rsidR="00000000" w:rsidDel="00000000" w:rsidP="00000000" w:rsidRDefault="00000000" w:rsidRPr="00000000" w14:paraId="00000013">
      <w:pPr>
        <w:spacing w:after="240" w:before="240" w:lineRule="auto"/>
        <w:rPr/>
      </w:pPr>
      <w:r w:rsidDel="00000000" w:rsidR="00000000" w:rsidRPr="00000000">
        <w:rPr>
          <w:rtl w:val="0"/>
        </w:rPr>
        <w:t xml:space="preserve">Pour garantir un affichage moderne, homogène et compatible avec tous les navigateurs et smartphones .</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Police principale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Roboto</w:t>
      </w:r>
      <w:r w:rsidDel="00000000" w:rsidR="00000000" w:rsidRPr="00000000">
        <w:rPr>
          <w:rtl w:val="0"/>
        </w:rPr>
        <w:t xml:space="preserve"> (sans-serif)</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Graisses (Weights) utilisées :</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Regular (400)</w:t>
      </w:r>
      <w:r w:rsidDel="00000000" w:rsidR="00000000" w:rsidRPr="00000000">
        <w:rPr>
          <w:rtl w:val="0"/>
        </w:rPr>
        <w:t xml:space="preserve"> : Pour le texte courant, les descriptions de pizzas et les paragraphes.</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Bold (700)</w:t>
      </w:r>
      <w:r w:rsidDel="00000000" w:rsidR="00000000" w:rsidRPr="00000000">
        <w:rPr>
          <w:rtl w:val="0"/>
        </w:rPr>
        <w:t xml:space="preserve"> : Pour les labels de formulaires, les sous-titres et les liens de navigation.</w:t>
      </w:r>
    </w:p>
    <w:p w:rsidR="00000000" w:rsidDel="00000000" w:rsidP="00000000" w:rsidRDefault="00000000" w:rsidRPr="00000000" w14:paraId="00000018">
      <w:pPr>
        <w:numPr>
          <w:ilvl w:val="1"/>
          <w:numId w:val="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Black (900)</w:t>
      </w:r>
      <w:r w:rsidDel="00000000" w:rsidR="00000000" w:rsidRPr="00000000">
        <w:rPr>
          <w:rtl w:val="0"/>
        </w:rPr>
        <w:t xml:space="preserve"> : Utilisé exclusivement pour les prix et les textes des boutons majeurs afin de maximiser leur impact visuel.</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o2tcfx1cl5" w:id="4"/>
      <w:bookmarkEnd w:id="4"/>
      <w:r w:rsidDel="00000000" w:rsidR="00000000" w:rsidRPr="00000000">
        <w:rPr>
          <w:b w:val="1"/>
          <w:bCs w:val="1"/>
          <w:sz w:val="34"/>
          <w:szCs w:val="34"/>
          <w:rtl w:val="0"/>
        </w:rPr>
        <w:t xml:space="preserve">4. Composants d'Interface </w:t>
      </w:r>
    </w:p>
    <w:p w:rsidR="00000000" w:rsidDel="00000000" w:rsidP="00000000" w:rsidRDefault="00000000" w:rsidRPr="00000000" w14:paraId="0000001A">
      <w:pPr>
        <w:spacing w:after="240" w:before="240" w:lineRule="auto"/>
        <w:rPr/>
      </w:pPr>
      <w:r w:rsidDel="00000000" w:rsidR="00000000" w:rsidRPr="00000000">
        <w:rPr>
          <w:rtl w:val="0"/>
        </w:rPr>
        <w:t xml:space="preserve">Les éléments interactifs ont été fait pour offrir une expérience utilisateur fluide, notamment sur l'interface Livreur.</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Boutons d'action (Boutons "Commander" / "Valider") :</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Fond : Jaune Action (</w:t>
      </w:r>
      <w:r w:rsidDel="00000000" w:rsidR="00000000" w:rsidRPr="00000000">
        <w:rPr>
          <w:rFonts w:ascii="Roboto Mono" w:cs="Roboto Mono" w:eastAsia="Roboto Mono" w:hAnsi="Roboto Mono"/>
          <w:color w:val="188038"/>
          <w:rtl w:val="0"/>
        </w:rPr>
        <w:t xml:space="preserve">#FFCC00</w:t>
      </w:r>
      <w:r w:rsidDel="00000000" w:rsidR="00000000" w:rsidRPr="00000000">
        <w:rPr>
          <w:rtl w:val="0"/>
        </w:rPr>
        <w:t xml:space="preserv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Typographie : Noir, texte en lettres capitales (</w:t>
      </w:r>
      <w:r w:rsidDel="00000000" w:rsidR="00000000" w:rsidRPr="00000000">
        <w:rPr>
          <w:rFonts w:ascii="Roboto Mono" w:cs="Roboto Mono" w:eastAsia="Roboto Mono" w:hAnsi="Roboto Mono"/>
          <w:color w:val="188038"/>
          <w:rtl w:val="0"/>
        </w:rPr>
        <w:t xml:space="preserve">text-transform: uppercase</w:t>
      </w:r>
      <w:r w:rsidDel="00000000" w:rsidR="00000000" w:rsidRPr="00000000">
        <w:rPr>
          <w:rtl w:val="0"/>
        </w:rPr>
        <w:t xml:space="preserve">), graisse 900.</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Forme : Rayon de bordure (</w:t>
      </w:r>
      <w:r w:rsidDel="00000000" w:rsidR="00000000" w:rsidRPr="00000000">
        <w:rPr>
          <w:rFonts w:ascii="Roboto Mono" w:cs="Roboto Mono" w:eastAsia="Roboto Mono" w:hAnsi="Roboto Mono"/>
          <w:color w:val="188038"/>
          <w:rtl w:val="0"/>
        </w:rPr>
        <w:t xml:space="preserve">border-radius</w:t>
      </w:r>
      <w:r w:rsidDel="00000000" w:rsidR="00000000" w:rsidRPr="00000000">
        <w:rPr>
          <w:rtl w:val="0"/>
        </w:rPr>
        <w:t xml:space="preserve">) de 4px pour les formulaires, et de 20px (aspect pilule) pour les actions d'achat.</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Interaction : Au survol (</w:t>
      </w:r>
      <w:r w:rsidDel="00000000" w:rsidR="00000000" w:rsidRPr="00000000">
        <w:rPr>
          <w:rFonts w:ascii="Roboto Mono" w:cs="Roboto Mono" w:eastAsia="Roboto Mono" w:hAnsi="Roboto Mono"/>
          <w:color w:val="188038"/>
          <w:rtl w:val="0"/>
        </w:rPr>
        <w:t xml:space="preserve">:hover</w:t>
      </w:r>
      <w:r w:rsidDel="00000000" w:rsidR="00000000" w:rsidRPr="00000000">
        <w:rPr>
          <w:rtl w:val="0"/>
        </w:rPr>
        <w:t xml:space="preserve">), la couleur s'assombrit légèrement (</w:t>
      </w:r>
      <w:r w:rsidDel="00000000" w:rsidR="00000000" w:rsidRPr="00000000">
        <w:rPr>
          <w:rFonts w:ascii="Roboto Mono" w:cs="Roboto Mono" w:eastAsia="Roboto Mono" w:hAnsi="Roboto Mono"/>
          <w:color w:val="188038"/>
          <w:rtl w:val="0"/>
        </w:rPr>
        <w:t xml:space="preserve">#e6b800</w:t>
      </w:r>
      <w:r w:rsidDel="00000000" w:rsidR="00000000" w:rsidRPr="00000000">
        <w:rPr>
          <w:rtl w:val="0"/>
        </w:rPr>
        <w:t xml:space="preserv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Cartes Produits (Pizzas, Salades, Desserts) :</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Fond : Blanc (</w:t>
      </w:r>
      <w:r w:rsidDel="00000000" w:rsidR="00000000" w:rsidRPr="00000000">
        <w:rPr>
          <w:rFonts w:ascii="Roboto Mono" w:cs="Roboto Mono" w:eastAsia="Roboto Mono" w:hAnsi="Roboto Mono"/>
          <w:color w:val="188038"/>
          <w:rtl w:val="0"/>
        </w:rPr>
        <w:t xml:space="preserve">#ffffff</w:t>
      </w:r>
      <w:r w:rsidDel="00000000" w:rsidR="00000000" w:rsidRPr="00000000">
        <w:rPr>
          <w:rtl w:val="0"/>
        </w:rPr>
        <w:t xml:space="preserve">).</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Structure : Rayon de bordure de 8px avec débordement masqué (</w:t>
      </w:r>
      <w:r w:rsidDel="00000000" w:rsidR="00000000" w:rsidRPr="00000000">
        <w:rPr>
          <w:rFonts w:ascii="Roboto Mono" w:cs="Roboto Mono" w:eastAsia="Roboto Mono" w:hAnsi="Roboto Mono"/>
          <w:color w:val="188038"/>
          <w:rtl w:val="0"/>
        </w:rPr>
        <w:t xml:space="preserve">overflow: hidden</w:t>
      </w:r>
      <w:r w:rsidDel="00000000" w:rsidR="00000000" w:rsidRPr="00000000">
        <w:rPr>
          <w:rtl w:val="0"/>
        </w:rPr>
        <w:t xml:space="preserve">) pour intégrer proprement l'image.</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Profondeur : Ombre portée légère (</w:t>
      </w:r>
      <w:r w:rsidDel="00000000" w:rsidR="00000000" w:rsidRPr="00000000">
        <w:rPr>
          <w:rFonts w:ascii="Roboto Mono" w:cs="Roboto Mono" w:eastAsia="Roboto Mono" w:hAnsi="Roboto Mono"/>
          <w:color w:val="188038"/>
          <w:rtl w:val="0"/>
        </w:rPr>
        <w:t xml:space="preserve">box-shadow: 0 2px 8px rgba(0,0,0,0.1)</w:t>
      </w:r>
      <w:r w:rsidDel="00000000" w:rsidR="00000000" w:rsidRPr="00000000">
        <w:rPr>
          <w:rtl w:val="0"/>
        </w:rPr>
        <w:t xml:space="preserve">) pour détacher la carte du fond gris.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Formulaires et Saisie :</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Champs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 Largeur 100%, espacement interne (padding) de 10px.</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Focus : Lors de la sélection d'un champ, la bordure devient Rouge Mosaïque et génère un léger halo lumineux pour guider l'utilisateur.</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Spécificité Interface Livreur :</w:t>
      </w:r>
    </w:p>
    <w:p w:rsidR="00000000" w:rsidDel="00000000" w:rsidP="00000000" w:rsidRDefault="00000000" w:rsidRPr="00000000" w14:paraId="00000028">
      <w:pPr>
        <w:numPr>
          <w:ilvl w:val="1"/>
          <w:numId w:val="1"/>
        </w:numPr>
        <w:spacing w:after="240" w:before="0" w:beforeAutospacing="0" w:lineRule="auto"/>
        <w:ind w:left="1440" w:hanging="360"/>
      </w:pPr>
      <w:r w:rsidDel="00000000" w:rsidR="00000000" w:rsidRPr="00000000">
        <w:rPr>
          <w:rtl w:val="0"/>
        </w:rPr>
        <w:t xml:space="preserve">Pour répondre aux contraintes (utilisation avec des gants), les boutons de l'interface livreur prennent plus d’espace, avec un espacement interne massif (20px) et des couleurs d'état franches (Bleu pour la navigation, Vert pour la validation, Rouge pour les problèmes).</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