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111111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r>
        <w:rPr>
          <w:rFonts w:ascii="Aptos" w:hAnsi="Aptos"/>
          <w:b/>
          <w:i w:val="0"/>
          <w:color w:val="111111"/>
          <w:sz w:val="17"/>
        </w:rPr>
        <w:t>LEADERSHIP / VALUE PROPOSITION: [scope] • [business impact] • [specialty]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EXECUTIVE 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LEADERSHIP HIGHLIGHTS</w:t>
      </w:r>
    </w:p>
    <w:p>
      <w:r>
        <w:rPr>
          <w:rFonts w:ascii="Aptos" w:hAnsi="Aptos"/>
          <w:b w:val="0"/>
          <w:i w:val="0"/>
          <w:color w:val="222222"/>
          <w:sz w:val="17"/>
        </w:rPr>
        <w:t>Add relevant details here. Remove this section if it does not apply.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111111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111111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STRATEGIC 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111111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111111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111111"/>
        </w:pBdr>
      </w:pPr>
      <w:r>
        <w:rPr>
          <w:rFonts w:ascii="Aptos" w:hAnsi="Aptos"/>
          <w:b/>
          <w:i w:val="0"/>
          <w:color w:val="111111"/>
          <w:sz w:val="19"/>
        </w:rPr>
        <w:t>EDUCATION &amp; CREDENTIALS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Resume Template</dc:title>
  <dc:subject>Editable resume layout inspired by the supplied reference gallery. Style: executive.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