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B948" w14:textId="00812033" w:rsidR="00DA6CC9" w:rsidRDefault="007422C5" w:rsidP="00672891">
      <w:pPr>
        <w:spacing w:after="120" w:line="240" w:lineRule="exact"/>
        <w:rPr>
          <w:rFonts w:ascii="Arial" w:hAnsi="Arial" w:cs="Arial"/>
          <w:sz w:val="22"/>
          <w:szCs w:val="22"/>
        </w:rPr>
      </w:pPr>
      <w:r>
        <w:rPr>
          <w:rFonts w:ascii="Arial" w:hAnsi="Arial" w:cs="Arial"/>
          <w:sz w:val="22"/>
          <w:szCs w:val="22"/>
        </w:rPr>
        <w:t>A</w:t>
      </w:r>
      <w:r w:rsidRPr="00672891">
        <w:rPr>
          <w:rFonts w:ascii="Arial" w:hAnsi="Arial" w:cs="Arial"/>
          <w:sz w:val="22"/>
          <w:szCs w:val="22"/>
        </w:rPr>
        <w:t>dolescent</w:t>
      </w:r>
      <w:r>
        <w:rPr>
          <w:rFonts w:ascii="Arial" w:hAnsi="Arial" w:cs="Arial"/>
          <w:sz w:val="22"/>
          <w:szCs w:val="22"/>
        </w:rPr>
        <w:t xml:space="preserve"> mental health is declining in</w:t>
      </w:r>
      <w:r w:rsidRPr="00672891">
        <w:rPr>
          <w:rFonts w:ascii="Arial" w:hAnsi="Arial" w:cs="Arial"/>
          <w:sz w:val="22"/>
          <w:szCs w:val="22"/>
        </w:rPr>
        <w:t xml:space="preserve"> </w:t>
      </w:r>
      <w:r>
        <w:rPr>
          <w:rFonts w:ascii="Arial" w:hAnsi="Arial" w:cs="Arial"/>
          <w:sz w:val="22"/>
          <w:szCs w:val="22"/>
        </w:rPr>
        <w:t>t</w:t>
      </w:r>
      <w:r w:rsidR="00672891" w:rsidRPr="00672891">
        <w:rPr>
          <w:rFonts w:ascii="Arial" w:hAnsi="Arial" w:cs="Arial"/>
          <w:sz w:val="22"/>
          <w:szCs w:val="22"/>
        </w:rPr>
        <w:t xml:space="preserve">he U.S. The proportion of adolescents reporting a </w:t>
      </w:r>
      <w:r>
        <w:rPr>
          <w:rFonts w:ascii="Arial" w:hAnsi="Arial" w:cs="Arial"/>
          <w:sz w:val="22"/>
          <w:szCs w:val="22"/>
        </w:rPr>
        <w:t xml:space="preserve">past-year </w:t>
      </w:r>
      <w:r w:rsidR="00672891" w:rsidRPr="00672891">
        <w:rPr>
          <w:rFonts w:ascii="Arial" w:hAnsi="Arial" w:cs="Arial"/>
          <w:sz w:val="22"/>
          <w:szCs w:val="22"/>
        </w:rPr>
        <w:t>major depressive episode almost doubled between 2008 and 2024</w:t>
      </w:r>
      <w:r>
        <w:rPr>
          <w:rFonts w:ascii="Arial" w:hAnsi="Arial" w:cs="Arial"/>
          <w:sz w:val="22"/>
          <w:szCs w:val="22"/>
        </w:rPr>
        <w:t>.</w:t>
      </w:r>
      <w:r w:rsidR="00DA6CC9">
        <w:rPr>
          <w:rStyle w:val="EndnoteReference"/>
          <w:rFonts w:ascii="Arial" w:hAnsi="Arial" w:cs="Arial"/>
          <w:sz w:val="22"/>
          <w:szCs w:val="22"/>
        </w:rPr>
        <w:endnoteReference w:id="2"/>
      </w:r>
      <w:r w:rsidR="00DA6CC9">
        <w:rPr>
          <w:rFonts w:ascii="Arial" w:hAnsi="Arial" w:cs="Arial"/>
          <w:sz w:val="22"/>
          <w:szCs w:val="22"/>
        </w:rPr>
        <w:t xml:space="preserve"> </w:t>
      </w:r>
      <w:r w:rsidR="00DA6CC9" w:rsidRPr="00672891">
        <w:rPr>
          <w:rFonts w:ascii="Arial" w:hAnsi="Arial" w:cs="Arial"/>
          <w:sz w:val="22"/>
          <w:szCs w:val="22"/>
        </w:rPr>
        <w:t xml:space="preserve">At the same time, rates of self-harm, suicide attempts, and suicide deaths also increased, </w:t>
      </w:r>
      <w:r w:rsidR="00DA6CC9">
        <w:rPr>
          <w:rFonts w:ascii="Arial" w:hAnsi="Arial" w:cs="Arial"/>
          <w:sz w:val="22"/>
          <w:szCs w:val="22"/>
        </w:rPr>
        <w:t>accompanied by</w:t>
      </w:r>
      <w:r w:rsidR="00DA6CC9" w:rsidRPr="00672891">
        <w:rPr>
          <w:rFonts w:ascii="Arial" w:hAnsi="Arial" w:cs="Arial"/>
          <w:sz w:val="22"/>
          <w:szCs w:val="22"/>
        </w:rPr>
        <w:t xml:space="preserve"> markers of related chronic diseases</w:t>
      </w:r>
      <w:r w:rsidR="00DA6CC9">
        <w:rPr>
          <w:rFonts w:ascii="Arial" w:hAnsi="Arial" w:cs="Arial"/>
          <w:sz w:val="22"/>
          <w:szCs w:val="22"/>
        </w:rPr>
        <w:t>.</w:t>
      </w:r>
      <w:r w:rsidR="00DA6CC9">
        <w:rPr>
          <w:rStyle w:val="EndnoteReference"/>
          <w:rFonts w:ascii="Arial" w:hAnsi="Arial" w:cs="Arial"/>
          <w:sz w:val="22"/>
          <w:szCs w:val="22"/>
        </w:rPr>
        <w:endnoteReference w:id="3"/>
      </w:r>
      <w:r w:rsidR="00DA6CC9">
        <w:rPr>
          <w:rFonts w:ascii="Arial" w:hAnsi="Arial" w:cs="Arial"/>
          <w:sz w:val="22"/>
          <w:szCs w:val="22"/>
        </w:rPr>
        <w:t xml:space="preserve"> </w:t>
      </w:r>
      <w:r w:rsidR="00DA6CC9" w:rsidRPr="00672891">
        <w:rPr>
          <w:rFonts w:ascii="Arial" w:hAnsi="Arial" w:cs="Arial"/>
          <w:sz w:val="22"/>
          <w:szCs w:val="22"/>
        </w:rPr>
        <w:t>This builds on a steady decline in health and human capital among younger cohorts for decades.</w:t>
      </w:r>
      <w:r w:rsidR="00DA6CC9">
        <w:rPr>
          <w:rStyle w:val="EndnoteReference"/>
          <w:rFonts w:ascii="Arial" w:hAnsi="Arial" w:cs="Arial"/>
          <w:sz w:val="22"/>
          <w:szCs w:val="22"/>
        </w:rPr>
        <w:endnoteReference w:id="4"/>
      </w:r>
      <w:r w:rsidR="00DA6CC9">
        <w:rPr>
          <w:rFonts w:ascii="Arial" w:hAnsi="Arial" w:cs="Arial"/>
          <w:sz w:val="22"/>
          <w:szCs w:val="22"/>
        </w:rPr>
        <w:t xml:space="preserve"> </w:t>
      </w:r>
      <w:r w:rsidR="00DA6CC9" w:rsidRPr="00672891">
        <w:rPr>
          <w:rFonts w:ascii="Arial" w:hAnsi="Arial" w:cs="Arial"/>
          <w:sz w:val="22"/>
          <w:szCs w:val="22"/>
        </w:rPr>
        <w:t xml:space="preserve">While the current trend shows some evidence of </w:t>
      </w:r>
      <w:r w:rsidR="00DA6CC9">
        <w:rPr>
          <w:rFonts w:ascii="Arial" w:hAnsi="Arial" w:cs="Arial"/>
          <w:sz w:val="22"/>
          <w:szCs w:val="22"/>
        </w:rPr>
        <w:t>improving since</w:t>
      </w:r>
      <w:r w:rsidR="00DA6CC9" w:rsidRPr="00672891">
        <w:rPr>
          <w:rFonts w:ascii="Arial" w:hAnsi="Arial" w:cs="Arial"/>
          <w:sz w:val="22"/>
          <w:szCs w:val="22"/>
        </w:rPr>
        <w:t xml:space="preserve"> </w:t>
      </w:r>
      <w:r w:rsidR="00DA6CC9">
        <w:rPr>
          <w:rFonts w:ascii="Arial" w:hAnsi="Arial" w:cs="Arial"/>
          <w:sz w:val="22"/>
          <w:szCs w:val="22"/>
        </w:rPr>
        <w:t>2021</w:t>
      </w:r>
      <w:r w:rsidR="00DA6CC9" w:rsidRPr="00672891">
        <w:rPr>
          <w:rFonts w:ascii="Arial" w:hAnsi="Arial" w:cs="Arial"/>
          <w:sz w:val="22"/>
          <w:szCs w:val="22"/>
        </w:rPr>
        <w:t>, adolescent mental health may not return to pre-2008 levels absent further intervention.</w:t>
      </w:r>
      <w:r w:rsidR="00DA6CC9">
        <w:rPr>
          <w:rStyle w:val="EndnoteReference"/>
          <w:rFonts w:ascii="Arial" w:hAnsi="Arial" w:cs="Arial"/>
          <w:sz w:val="22"/>
          <w:szCs w:val="22"/>
        </w:rPr>
        <w:endnoteReference w:id="5"/>
      </w:r>
      <w:r w:rsidR="00DA6CC9" w:rsidRPr="00672891">
        <w:rPr>
          <w:rFonts w:ascii="Arial" w:hAnsi="Arial" w:cs="Arial"/>
          <w:sz w:val="22"/>
          <w:szCs w:val="22"/>
        </w:rPr>
        <w:t xml:space="preserve"> This will likely require substantial public investment to fundamentally bend the long-term trajectory of adolescent mental health. </w:t>
      </w:r>
    </w:p>
    <w:p w14:paraId="2CABBB37" w14:textId="6A90EB03" w:rsidR="00DA6CC9" w:rsidRDefault="00DA6CC9" w:rsidP="00672891">
      <w:pPr>
        <w:spacing w:after="120" w:line="240" w:lineRule="exact"/>
        <w:rPr>
          <w:rFonts w:ascii="Arial" w:hAnsi="Arial" w:cs="Arial"/>
          <w:sz w:val="22"/>
          <w:szCs w:val="22"/>
        </w:rPr>
      </w:pPr>
      <w:r w:rsidRPr="00672891">
        <w:rPr>
          <w:rFonts w:ascii="Arial" w:hAnsi="Arial" w:cs="Arial"/>
          <w:sz w:val="22"/>
          <w:szCs w:val="22"/>
        </w:rPr>
        <w:t xml:space="preserve">Unfortunately, </w:t>
      </w:r>
      <w:r>
        <w:rPr>
          <w:rFonts w:ascii="Arial" w:hAnsi="Arial" w:cs="Arial"/>
          <w:sz w:val="22"/>
          <w:szCs w:val="22"/>
        </w:rPr>
        <w:t>substantial</w:t>
      </w:r>
      <w:r w:rsidRPr="00672891">
        <w:rPr>
          <w:rFonts w:ascii="Arial" w:hAnsi="Arial" w:cs="Arial"/>
          <w:sz w:val="22"/>
          <w:szCs w:val="22"/>
        </w:rPr>
        <w:t xml:space="preserve"> public investment is </w:t>
      </w:r>
      <w:r>
        <w:rPr>
          <w:rFonts w:ascii="Arial" w:hAnsi="Arial" w:cs="Arial"/>
          <w:sz w:val="22"/>
          <w:szCs w:val="22"/>
        </w:rPr>
        <w:t>rarely</w:t>
      </w:r>
      <w:r w:rsidRPr="00672891">
        <w:rPr>
          <w:rFonts w:ascii="Arial" w:hAnsi="Arial" w:cs="Arial"/>
          <w:sz w:val="22"/>
          <w:szCs w:val="22"/>
        </w:rPr>
        <w:t xml:space="preserve"> politically feasible</w:t>
      </w:r>
      <w:r>
        <w:rPr>
          <w:rFonts w:ascii="Arial" w:hAnsi="Arial" w:cs="Arial"/>
          <w:sz w:val="22"/>
          <w:szCs w:val="22"/>
        </w:rPr>
        <w:t>, especially</w:t>
      </w:r>
      <w:r w:rsidRPr="00672891">
        <w:rPr>
          <w:rFonts w:ascii="Arial" w:hAnsi="Arial" w:cs="Arial"/>
          <w:sz w:val="22"/>
          <w:szCs w:val="22"/>
        </w:rPr>
        <w:t xml:space="preserve"> given rising federal deficits</w:t>
      </w:r>
      <w:r>
        <w:rPr>
          <w:rFonts w:ascii="Arial" w:hAnsi="Arial" w:cs="Arial"/>
          <w:sz w:val="22"/>
          <w:szCs w:val="22"/>
        </w:rPr>
        <w:t>.</w:t>
      </w:r>
      <w:r>
        <w:rPr>
          <w:rStyle w:val="EndnoteReference"/>
          <w:rFonts w:ascii="Arial" w:hAnsi="Arial" w:cs="Arial"/>
          <w:sz w:val="22"/>
          <w:szCs w:val="22"/>
        </w:rPr>
        <w:endnoteReference w:id="6"/>
      </w:r>
      <w:r w:rsidRPr="007422C5">
        <w:rPr>
          <w:rFonts w:ascii="Arial" w:hAnsi="Arial" w:cs="Arial"/>
          <w:sz w:val="22"/>
          <w:szCs w:val="22"/>
        </w:rPr>
        <w:t xml:space="preserve"> </w:t>
      </w:r>
      <w:r>
        <w:rPr>
          <w:rFonts w:ascii="Arial" w:hAnsi="Arial" w:cs="Arial"/>
          <w:sz w:val="22"/>
          <w:szCs w:val="22"/>
        </w:rPr>
        <w:t>Federal budget analysts</w:t>
      </w:r>
      <w:r w:rsidRPr="00356D67">
        <w:rPr>
          <w:rFonts w:ascii="Arial" w:hAnsi="Arial" w:cs="Arial"/>
          <w:sz w:val="22"/>
          <w:szCs w:val="22"/>
        </w:rPr>
        <w:t xml:space="preserve"> </w:t>
      </w:r>
      <w:r>
        <w:rPr>
          <w:rFonts w:ascii="Arial" w:hAnsi="Arial" w:cs="Arial"/>
          <w:sz w:val="22"/>
          <w:szCs w:val="22"/>
        </w:rPr>
        <w:t xml:space="preserve">support policymaking by </w:t>
      </w:r>
      <w:r w:rsidRPr="00356D67">
        <w:rPr>
          <w:rFonts w:ascii="Arial" w:hAnsi="Arial" w:cs="Arial"/>
          <w:sz w:val="22"/>
          <w:szCs w:val="22"/>
        </w:rPr>
        <w:t>estimat</w:t>
      </w:r>
      <w:r>
        <w:rPr>
          <w:rFonts w:ascii="Arial" w:hAnsi="Arial" w:cs="Arial"/>
          <w:sz w:val="22"/>
          <w:szCs w:val="22"/>
        </w:rPr>
        <w:t>ing</w:t>
      </w:r>
      <w:r w:rsidRPr="00356D67">
        <w:rPr>
          <w:rFonts w:ascii="Arial" w:hAnsi="Arial" w:cs="Arial"/>
          <w:sz w:val="22"/>
          <w:szCs w:val="22"/>
        </w:rPr>
        <w:t xml:space="preserve"> the 10-year budget impact of </w:t>
      </w:r>
      <w:r>
        <w:rPr>
          <w:rFonts w:ascii="Arial" w:hAnsi="Arial" w:cs="Arial"/>
          <w:sz w:val="22"/>
          <w:szCs w:val="22"/>
        </w:rPr>
        <w:t>proposed policies</w:t>
      </w:r>
      <w:r w:rsidRPr="00356D67">
        <w:rPr>
          <w:rFonts w:ascii="Arial" w:hAnsi="Arial" w:cs="Arial"/>
          <w:sz w:val="22"/>
          <w:szCs w:val="22"/>
        </w:rPr>
        <w:t xml:space="preserve">. If they estimate that the policy would increase the federal </w:t>
      </w:r>
      <w:r>
        <w:rPr>
          <w:rFonts w:ascii="Arial" w:hAnsi="Arial" w:cs="Arial"/>
          <w:sz w:val="22"/>
          <w:szCs w:val="22"/>
        </w:rPr>
        <w:t>deficit</w:t>
      </w:r>
      <w:r w:rsidRPr="00356D67">
        <w:rPr>
          <w:rFonts w:ascii="Arial" w:hAnsi="Arial" w:cs="Arial"/>
          <w:sz w:val="22"/>
          <w:szCs w:val="22"/>
        </w:rPr>
        <w:t xml:space="preserve">, </w:t>
      </w:r>
      <w:r>
        <w:rPr>
          <w:rFonts w:ascii="Arial" w:hAnsi="Arial" w:cs="Arial"/>
          <w:sz w:val="22"/>
          <w:szCs w:val="22"/>
        </w:rPr>
        <w:t>budget rules</w:t>
      </w:r>
      <w:r w:rsidRPr="00356D67">
        <w:rPr>
          <w:rFonts w:ascii="Arial" w:hAnsi="Arial" w:cs="Arial"/>
          <w:sz w:val="22"/>
          <w:szCs w:val="22"/>
        </w:rPr>
        <w:t xml:space="preserve"> come into force</w:t>
      </w:r>
      <w:r>
        <w:rPr>
          <w:rFonts w:ascii="Arial" w:hAnsi="Arial" w:cs="Arial"/>
          <w:sz w:val="22"/>
          <w:szCs w:val="22"/>
        </w:rPr>
        <w:t xml:space="preserve"> that challenge</w:t>
      </w:r>
      <w:r w:rsidRPr="00356D67">
        <w:rPr>
          <w:rFonts w:ascii="Arial" w:hAnsi="Arial" w:cs="Arial"/>
          <w:sz w:val="22"/>
          <w:szCs w:val="22"/>
        </w:rPr>
        <w:t xml:space="preserve"> </w:t>
      </w:r>
      <w:r>
        <w:rPr>
          <w:rFonts w:ascii="Arial" w:hAnsi="Arial" w:cs="Arial"/>
          <w:sz w:val="22"/>
          <w:szCs w:val="22"/>
        </w:rPr>
        <w:t>any new spending</w:t>
      </w:r>
      <w:r w:rsidRPr="00356D67">
        <w:rPr>
          <w:rFonts w:ascii="Arial" w:hAnsi="Arial" w:cs="Arial"/>
          <w:sz w:val="22"/>
          <w:szCs w:val="22"/>
        </w:rPr>
        <w:t>.</w:t>
      </w:r>
      <w:r>
        <w:rPr>
          <w:rStyle w:val="EndnoteReference"/>
          <w:rFonts w:ascii="Arial" w:hAnsi="Arial" w:cs="Arial"/>
          <w:sz w:val="22"/>
          <w:szCs w:val="22"/>
        </w:rPr>
        <w:endnoteReference w:id="7"/>
      </w:r>
      <w:r>
        <w:rPr>
          <w:rFonts w:ascii="Arial" w:hAnsi="Arial" w:cs="Arial"/>
          <w:sz w:val="22"/>
          <w:szCs w:val="22"/>
        </w:rPr>
        <w:t xml:space="preserve"> </w:t>
      </w:r>
      <w:r w:rsidRPr="00672891">
        <w:rPr>
          <w:rFonts w:ascii="Arial" w:hAnsi="Arial" w:cs="Arial"/>
          <w:sz w:val="22"/>
          <w:szCs w:val="22"/>
        </w:rPr>
        <w:t xml:space="preserve">Currently, policymakers are </w:t>
      </w:r>
      <w:r>
        <w:rPr>
          <w:rFonts w:ascii="Arial" w:hAnsi="Arial" w:cs="Arial"/>
          <w:sz w:val="22"/>
          <w:szCs w:val="22"/>
        </w:rPr>
        <w:t xml:space="preserve">generally </w:t>
      </w:r>
      <w:r w:rsidRPr="00672891">
        <w:rPr>
          <w:rFonts w:ascii="Arial" w:hAnsi="Arial" w:cs="Arial"/>
          <w:sz w:val="22"/>
          <w:szCs w:val="22"/>
        </w:rPr>
        <w:t xml:space="preserve">only able to account for the immediate behavioral responses of policies that improve adolescent </w:t>
      </w:r>
      <w:r>
        <w:rPr>
          <w:rFonts w:ascii="Arial" w:hAnsi="Arial" w:cs="Arial"/>
          <w:sz w:val="22"/>
          <w:szCs w:val="22"/>
        </w:rPr>
        <w:t xml:space="preserve">mental health, such as increased spending. </w:t>
      </w:r>
      <w:r w:rsidRPr="00672891">
        <w:rPr>
          <w:rFonts w:ascii="Arial" w:hAnsi="Arial" w:cs="Arial"/>
          <w:sz w:val="22"/>
          <w:szCs w:val="22"/>
        </w:rPr>
        <w:t xml:space="preserve">However, there is evidence that improving adolescent </w:t>
      </w:r>
      <w:r>
        <w:rPr>
          <w:rFonts w:ascii="Arial" w:hAnsi="Arial" w:cs="Arial"/>
          <w:sz w:val="22"/>
          <w:szCs w:val="22"/>
        </w:rPr>
        <w:t>mental health</w:t>
      </w:r>
      <w:r w:rsidRPr="00672891">
        <w:rPr>
          <w:rFonts w:ascii="Arial" w:hAnsi="Arial" w:cs="Arial"/>
          <w:sz w:val="22"/>
          <w:szCs w:val="22"/>
        </w:rPr>
        <w:t xml:space="preserve"> </w:t>
      </w:r>
      <w:r>
        <w:rPr>
          <w:rFonts w:ascii="Arial" w:hAnsi="Arial" w:cs="Arial"/>
          <w:sz w:val="22"/>
          <w:szCs w:val="22"/>
        </w:rPr>
        <w:t>may</w:t>
      </w:r>
      <w:r w:rsidRPr="00672891">
        <w:rPr>
          <w:rFonts w:ascii="Arial" w:hAnsi="Arial" w:cs="Arial"/>
          <w:sz w:val="22"/>
          <w:szCs w:val="22"/>
        </w:rPr>
        <w:t xml:space="preserve"> produce downstream economic benefits that </w:t>
      </w:r>
      <w:r>
        <w:rPr>
          <w:rFonts w:ascii="Arial" w:hAnsi="Arial" w:cs="Arial"/>
          <w:sz w:val="22"/>
          <w:szCs w:val="22"/>
        </w:rPr>
        <w:t>could</w:t>
      </w:r>
      <w:r w:rsidRPr="00672891">
        <w:rPr>
          <w:rFonts w:ascii="Arial" w:hAnsi="Arial" w:cs="Arial"/>
          <w:sz w:val="22"/>
          <w:szCs w:val="22"/>
        </w:rPr>
        <w:t xml:space="preserve"> partially offset policy costs.</w:t>
      </w:r>
      <w:r>
        <w:rPr>
          <w:rStyle w:val="EndnoteReference"/>
          <w:rFonts w:ascii="Arial" w:hAnsi="Arial" w:cs="Arial"/>
          <w:sz w:val="22"/>
          <w:szCs w:val="22"/>
        </w:rPr>
        <w:endnoteReference w:id="8"/>
      </w:r>
      <w:r>
        <w:rPr>
          <w:rFonts w:ascii="Arial" w:hAnsi="Arial" w:cs="Arial"/>
          <w:sz w:val="22"/>
          <w:szCs w:val="22"/>
          <w:vertAlign w:val="superscript"/>
        </w:rPr>
        <w:t>,</w:t>
      </w:r>
      <w:r>
        <w:rPr>
          <w:rStyle w:val="EndnoteReference"/>
          <w:rFonts w:ascii="Arial" w:hAnsi="Arial" w:cs="Arial"/>
          <w:sz w:val="22"/>
          <w:szCs w:val="22"/>
        </w:rPr>
        <w:endnoteReference w:id="9"/>
      </w:r>
      <w:r w:rsidRPr="00672891">
        <w:rPr>
          <w:rFonts w:ascii="Arial" w:hAnsi="Arial" w:cs="Arial"/>
          <w:sz w:val="22"/>
          <w:szCs w:val="22"/>
        </w:rPr>
        <w:t xml:space="preserve"> </w:t>
      </w:r>
    </w:p>
    <w:p w14:paraId="13E9F032" w14:textId="3177190E" w:rsidR="00DA6CC9" w:rsidRDefault="00DA6CC9" w:rsidP="00672891">
      <w:pPr>
        <w:spacing w:after="120" w:line="240" w:lineRule="exact"/>
        <w:rPr>
          <w:rFonts w:ascii="Arial" w:hAnsi="Arial" w:cs="Arial"/>
          <w:sz w:val="22"/>
          <w:szCs w:val="22"/>
        </w:rPr>
      </w:pPr>
      <w:r>
        <w:rPr>
          <w:rFonts w:ascii="Arial" w:hAnsi="Arial" w:cs="Arial"/>
          <w:sz w:val="22"/>
          <w:szCs w:val="22"/>
        </w:rPr>
        <w:t>Federal budget analysts</w:t>
      </w:r>
      <w:r w:rsidRPr="007422C5">
        <w:rPr>
          <w:rFonts w:ascii="Arial" w:hAnsi="Arial" w:cs="Arial"/>
          <w:sz w:val="22"/>
          <w:szCs w:val="22"/>
        </w:rPr>
        <w:t xml:space="preserve"> can consider </w:t>
      </w:r>
      <w:r>
        <w:rPr>
          <w:rFonts w:ascii="Arial" w:hAnsi="Arial" w:cs="Arial"/>
          <w:sz w:val="22"/>
          <w:szCs w:val="22"/>
        </w:rPr>
        <w:t xml:space="preserve">a policy’s full </w:t>
      </w:r>
      <w:r w:rsidRPr="007422C5">
        <w:rPr>
          <w:rFonts w:ascii="Arial" w:hAnsi="Arial" w:cs="Arial"/>
          <w:sz w:val="22"/>
          <w:szCs w:val="22"/>
        </w:rPr>
        <w:t xml:space="preserve">downstream </w:t>
      </w:r>
      <w:r>
        <w:rPr>
          <w:rFonts w:ascii="Arial" w:hAnsi="Arial" w:cs="Arial"/>
          <w:sz w:val="22"/>
          <w:szCs w:val="22"/>
        </w:rPr>
        <w:t xml:space="preserve">budget effects – </w:t>
      </w:r>
      <w:r>
        <w:rPr>
          <w:rFonts w:ascii="Arial" w:hAnsi="Arial" w:cs="Arial"/>
          <w:sz w:val="22"/>
          <w:szCs w:val="22"/>
        </w:rPr>
        <w:t>including at the level of the macroeconomy</w:t>
      </w:r>
      <w:r>
        <w:rPr>
          <w:rFonts w:ascii="Arial" w:hAnsi="Arial" w:cs="Arial"/>
          <w:sz w:val="22"/>
          <w:szCs w:val="22"/>
        </w:rPr>
        <w:t xml:space="preserve"> – </w:t>
      </w:r>
      <w:r w:rsidRPr="007422C5">
        <w:rPr>
          <w:rFonts w:ascii="Arial" w:hAnsi="Arial" w:cs="Arial"/>
          <w:sz w:val="22"/>
          <w:szCs w:val="22"/>
        </w:rPr>
        <w:t>but they rarely have the resources to do so.</w:t>
      </w:r>
      <w:r>
        <w:rPr>
          <w:rStyle w:val="EndnoteReference"/>
          <w:rFonts w:ascii="Arial" w:hAnsi="Arial" w:cs="Arial"/>
          <w:sz w:val="22"/>
          <w:szCs w:val="22"/>
        </w:rPr>
        <w:endnoteReference w:id="10"/>
      </w:r>
      <w:r w:rsidRPr="007422C5">
        <w:rPr>
          <w:rFonts w:ascii="Arial" w:hAnsi="Arial" w:cs="Arial"/>
          <w:sz w:val="22"/>
          <w:szCs w:val="22"/>
        </w:rPr>
        <w:t xml:space="preserve"> </w:t>
      </w:r>
      <w:r>
        <w:rPr>
          <w:rFonts w:ascii="Arial" w:hAnsi="Arial" w:cs="Arial"/>
          <w:sz w:val="22"/>
          <w:szCs w:val="22"/>
        </w:rPr>
        <w:t>Budget analysts</w:t>
      </w:r>
      <w:r w:rsidRPr="007422C5">
        <w:rPr>
          <w:rFonts w:ascii="Arial" w:hAnsi="Arial" w:cs="Arial"/>
          <w:sz w:val="22"/>
          <w:szCs w:val="22"/>
        </w:rPr>
        <w:t xml:space="preserve"> do not have a way to individually estimate the impacts of </w:t>
      </w:r>
      <w:r>
        <w:rPr>
          <w:rFonts w:ascii="Arial" w:hAnsi="Arial" w:cs="Arial"/>
          <w:sz w:val="22"/>
          <w:szCs w:val="22"/>
        </w:rPr>
        <w:t>the hundreds of</w:t>
      </w:r>
      <w:r w:rsidRPr="007422C5">
        <w:rPr>
          <w:rFonts w:ascii="Arial" w:hAnsi="Arial" w:cs="Arial"/>
          <w:sz w:val="22"/>
          <w:szCs w:val="22"/>
        </w:rPr>
        <w:t xml:space="preserve"> </w:t>
      </w:r>
      <w:r>
        <w:rPr>
          <w:rFonts w:ascii="Arial" w:hAnsi="Arial" w:cs="Arial"/>
          <w:sz w:val="22"/>
          <w:szCs w:val="22"/>
        </w:rPr>
        <w:t>proposed</w:t>
      </w:r>
      <w:r w:rsidRPr="007422C5">
        <w:rPr>
          <w:rFonts w:ascii="Arial" w:hAnsi="Arial" w:cs="Arial"/>
          <w:sz w:val="22"/>
          <w:szCs w:val="22"/>
        </w:rPr>
        <w:t xml:space="preserve"> </w:t>
      </w:r>
      <w:r>
        <w:rPr>
          <w:rFonts w:ascii="Arial" w:hAnsi="Arial" w:cs="Arial"/>
          <w:sz w:val="22"/>
          <w:szCs w:val="22"/>
        </w:rPr>
        <w:t>policies each year,</w:t>
      </w:r>
      <w:r w:rsidRPr="007422C5">
        <w:rPr>
          <w:rFonts w:ascii="Arial" w:hAnsi="Arial" w:cs="Arial"/>
          <w:sz w:val="22"/>
          <w:szCs w:val="22"/>
        </w:rPr>
        <w:t xml:space="preserve"> within </w:t>
      </w:r>
      <w:r>
        <w:rPr>
          <w:rFonts w:ascii="Arial" w:hAnsi="Arial" w:cs="Arial"/>
          <w:sz w:val="22"/>
          <w:szCs w:val="22"/>
        </w:rPr>
        <w:t>the analysts’</w:t>
      </w:r>
      <w:r w:rsidRPr="007422C5">
        <w:rPr>
          <w:rFonts w:ascii="Arial" w:hAnsi="Arial" w:cs="Arial"/>
          <w:sz w:val="22"/>
          <w:szCs w:val="22"/>
        </w:rPr>
        <w:t xml:space="preserve"> </w:t>
      </w:r>
      <w:r>
        <w:rPr>
          <w:rFonts w:ascii="Arial" w:hAnsi="Arial" w:cs="Arial"/>
          <w:sz w:val="22"/>
          <w:szCs w:val="22"/>
        </w:rPr>
        <w:t xml:space="preserve">limited </w:t>
      </w:r>
      <w:r w:rsidRPr="007422C5">
        <w:rPr>
          <w:rFonts w:ascii="Arial" w:hAnsi="Arial" w:cs="Arial"/>
          <w:sz w:val="22"/>
          <w:szCs w:val="22"/>
        </w:rPr>
        <w:t xml:space="preserve">resources. </w:t>
      </w:r>
      <w:r>
        <w:rPr>
          <w:rFonts w:ascii="Arial" w:hAnsi="Arial" w:cs="Arial"/>
          <w:sz w:val="22"/>
          <w:szCs w:val="22"/>
        </w:rPr>
        <w:t>Analysts</w:t>
      </w:r>
      <w:r w:rsidRPr="007422C5">
        <w:rPr>
          <w:rFonts w:ascii="Arial" w:hAnsi="Arial" w:cs="Arial"/>
          <w:sz w:val="22"/>
          <w:szCs w:val="22"/>
        </w:rPr>
        <w:t xml:space="preserve"> could more likely integrate an elasticity for how changes in adolescent </w:t>
      </w:r>
      <w:r>
        <w:rPr>
          <w:rFonts w:ascii="Arial" w:hAnsi="Arial" w:cs="Arial"/>
          <w:sz w:val="22"/>
          <w:szCs w:val="22"/>
        </w:rPr>
        <w:t>mental health condition</w:t>
      </w:r>
      <w:r w:rsidRPr="007422C5">
        <w:rPr>
          <w:rFonts w:ascii="Arial" w:hAnsi="Arial" w:cs="Arial"/>
          <w:sz w:val="22"/>
          <w:szCs w:val="22"/>
        </w:rPr>
        <w:t xml:space="preserve"> prevalence </w:t>
      </w:r>
      <w:r>
        <w:rPr>
          <w:rFonts w:ascii="Arial" w:hAnsi="Arial" w:cs="Arial"/>
          <w:sz w:val="22"/>
          <w:szCs w:val="22"/>
        </w:rPr>
        <w:t>would affect</w:t>
      </w:r>
      <w:r w:rsidRPr="007422C5">
        <w:rPr>
          <w:rFonts w:ascii="Arial" w:hAnsi="Arial" w:cs="Arial"/>
          <w:sz w:val="22"/>
          <w:szCs w:val="22"/>
        </w:rPr>
        <w:t xml:space="preserve"> inputs into their existing models</w:t>
      </w:r>
      <w:r>
        <w:rPr>
          <w:rFonts w:ascii="Arial" w:hAnsi="Arial" w:cs="Arial"/>
          <w:sz w:val="22"/>
          <w:szCs w:val="22"/>
        </w:rPr>
        <w:t>,</w:t>
      </w:r>
      <w:r w:rsidRPr="007422C5">
        <w:rPr>
          <w:rFonts w:ascii="Arial" w:hAnsi="Arial" w:cs="Arial"/>
          <w:sz w:val="22"/>
          <w:szCs w:val="22"/>
        </w:rPr>
        <w:t xml:space="preserve"> </w:t>
      </w:r>
      <w:r>
        <w:rPr>
          <w:rFonts w:ascii="Arial" w:hAnsi="Arial" w:cs="Arial"/>
          <w:sz w:val="22"/>
          <w:szCs w:val="22"/>
        </w:rPr>
        <w:t xml:space="preserve">such as labor force participation. </w:t>
      </w:r>
      <w:r w:rsidRPr="00DB5C24">
        <w:rPr>
          <w:rFonts w:ascii="Arial" w:hAnsi="Arial" w:cs="Arial"/>
          <w:sz w:val="22"/>
          <w:szCs w:val="22"/>
        </w:rPr>
        <w:t>For each policy proposal, federal budget analysts could simulate the</w:t>
      </w:r>
      <w:r>
        <w:rPr>
          <w:rFonts w:ascii="Arial" w:hAnsi="Arial" w:cs="Arial"/>
          <w:sz w:val="22"/>
          <w:szCs w:val="22"/>
        </w:rPr>
        <w:t xml:space="preserve"> policy</w:t>
      </w:r>
      <w:r w:rsidRPr="00DB5C24">
        <w:rPr>
          <w:rFonts w:ascii="Arial" w:hAnsi="Arial" w:cs="Arial"/>
          <w:sz w:val="22"/>
          <w:szCs w:val="22"/>
        </w:rPr>
        <w:t xml:space="preserve"> impacts o</w:t>
      </w:r>
      <w:r>
        <w:rPr>
          <w:rFonts w:ascii="Arial" w:hAnsi="Arial" w:cs="Arial"/>
          <w:sz w:val="22"/>
          <w:szCs w:val="22"/>
        </w:rPr>
        <w:t xml:space="preserve">n mental health </w:t>
      </w:r>
      <w:r w:rsidRPr="00DB5C24">
        <w:rPr>
          <w:rFonts w:ascii="Arial" w:hAnsi="Arial" w:cs="Arial"/>
          <w:sz w:val="22"/>
          <w:szCs w:val="22"/>
        </w:rPr>
        <w:t xml:space="preserve">and then use the elasticities to estimate how that would </w:t>
      </w:r>
      <w:r>
        <w:rPr>
          <w:rFonts w:ascii="Arial" w:hAnsi="Arial" w:cs="Arial"/>
          <w:sz w:val="22"/>
          <w:szCs w:val="22"/>
        </w:rPr>
        <w:t>alter</w:t>
      </w:r>
      <w:r w:rsidRPr="00DB5C24">
        <w:rPr>
          <w:rFonts w:ascii="Arial" w:hAnsi="Arial" w:cs="Arial"/>
          <w:sz w:val="22"/>
          <w:szCs w:val="22"/>
        </w:rPr>
        <w:t xml:space="preserve"> the inputs into their models. </w:t>
      </w:r>
      <w:r>
        <w:rPr>
          <w:rFonts w:ascii="Arial" w:hAnsi="Arial" w:cs="Arial"/>
          <w:sz w:val="22"/>
          <w:szCs w:val="22"/>
        </w:rPr>
        <w:t>Analysts</w:t>
      </w:r>
      <w:r w:rsidRPr="00DB5C24">
        <w:rPr>
          <w:rFonts w:ascii="Arial" w:hAnsi="Arial" w:cs="Arial"/>
          <w:sz w:val="22"/>
          <w:szCs w:val="22"/>
        </w:rPr>
        <w:t xml:space="preserve"> could then run their existing models to determine how the policy ultimately </w:t>
      </w:r>
      <w:r>
        <w:rPr>
          <w:rFonts w:ascii="Arial" w:hAnsi="Arial" w:cs="Arial"/>
          <w:sz w:val="22"/>
          <w:szCs w:val="22"/>
        </w:rPr>
        <w:t>affects</w:t>
      </w:r>
      <w:r w:rsidRPr="00DB5C24">
        <w:rPr>
          <w:rFonts w:ascii="Arial" w:hAnsi="Arial" w:cs="Arial"/>
          <w:sz w:val="22"/>
          <w:szCs w:val="22"/>
        </w:rPr>
        <w:t xml:space="preserve"> the economy and federal budget. </w:t>
      </w:r>
      <w:r w:rsidRPr="007422C5">
        <w:rPr>
          <w:rFonts w:ascii="Arial" w:hAnsi="Arial" w:cs="Arial"/>
          <w:sz w:val="22"/>
          <w:szCs w:val="22"/>
        </w:rPr>
        <w:t xml:space="preserve">This would not comprehensively estimate policy </w:t>
      </w:r>
      <w:proofErr w:type="gramStart"/>
      <w:r w:rsidRPr="007422C5">
        <w:rPr>
          <w:rFonts w:ascii="Arial" w:hAnsi="Arial" w:cs="Arial"/>
          <w:sz w:val="22"/>
          <w:szCs w:val="22"/>
        </w:rPr>
        <w:t>impacts, but</w:t>
      </w:r>
      <w:proofErr w:type="gramEnd"/>
      <w:r w:rsidRPr="007422C5">
        <w:rPr>
          <w:rFonts w:ascii="Arial" w:hAnsi="Arial" w:cs="Arial"/>
          <w:sz w:val="22"/>
          <w:szCs w:val="22"/>
        </w:rPr>
        <w:t xml:space="preserve"> would simplify estimation to fit within current resources </w:t>
      </w:r>
      <w:r>
        <w:rPr>
          <w:rFonts w:ascii="Arial" w:hAnsi="Arial" w:cs="Arial"/>
          <w:sz w:val="22"/>
          <w:szCs w:val="22"/>
        </w:rPr>
        <w:t xml:space="preserve">by </w:t>
      </w:r>
      <w:r w:rsidRPr="007422C5">
        <w:rPr>
          <w:rFonts w:ascii="Arial" w:hAnsi="Arial" w:cs="Arial"/>
          <w:sz w:val="22"/>
          <w:szCs w:val="22"/>
        </w:rPr>
        <w:t xml:space="preserve">relying on a single channel of </w:t>
      </w:r>
      <w:r>
        <w:rPr>
          <w:rFonts w:ascii="Arial" w:hAnsi="Arial" w:cs="Arial"/>
          <w:sz w:val="22"/>
          <w:szCs w:val="22"/>
        </w:rPr>
        <w:t xml:space="preserve">policy </w:t>
      </w:r>
      <w:r w:rsidRPr="007422C5">
        <w:rPr>
          <w:rFonts w:ascii="Arial" w:hAnsi="Arial" w:cs="Arial"/>
          <w:sz w:val="22"/>
          <w:szCs w:val="22"/>
        </w:rPr>
        <w:t>effects</w:t>
      </w:r>
      <w:r>
        <w:rPr>
          <w:rFonts w:ascii="Arial" w:hAnsi="Arial" w:cs="Arial"/>
          <w:sz w:val="22"/>
          <w:szCs w:val="22"/>
        </w:rPr>
        <w:t xml:space="preserve"> on model inputs. With this streamlined approach,</w:t>
      </w:r>
      <w:r w:rsidRPr="00DB5C24">
        <w:rPr>
          <w:rFonts w:ascii="Arial" w:hAnsi="Arial" w:cs="Arial"/>
          <w:sz w:val="22"/>
          <w:szCs w:val="22"/>
        </w:rPr>
        <w:t xml:space="preserve"> federal budget analysts </w:t>
      </w:r>
      <w:r>
        <w:rPr>
          <w:rFonts w:ascii="Arial" w:hAnsi="Arial" w:cs="Arial"/>
          <w:sz w:val="22"/>
          <w:szCs w:val="22"/>
        </w:rPr>
        <w:t>could</w:t>
      </w:r>
      <w:r w:rsidRPr="00DB5C24">
        <w:rPr>
          <w:rFonts w:ascii="Arial" w:hAnsi="Arial" w:cs="Arial"/>
          <w:sz w:val="22"/>
          <w:szCs w:val="22"/>
        </w:rPr>
        <w:t xml:space="preserve"> more quickly estimate the budget impacts of </w:t>
      </w:r>
      <w:r>
        <w:rPr>
          <w:rFonts w:ascii="Arial" w:hAnsi="Arial" w:cs="Arial"/>
          <w:sz w:val="22"/>
          <w:szCs w:val="22"/>
        </w:rPr>
        <w:t>policies</w:t>
      </w:r>
      <w:r w:rsidRPr="00DB5C24">
        <w:rPr>
          <w:rFonts w:ascii="Arial" w:hAnsi="Arial" w:cs="Arial"/>
          <w:sz w:val="22"/>
          <w:szCs w:val="22"/>
        </w:rPr>
        <w:t xml:space="preserve"> </w:t>
      </w:r>
      <w:r>
        <w:rPr>
          <w:rFonts w:ascii="Arial" w:hAnsi="Arial" w:cs="Arial"/>
          <w:sz w:val="22"/>
          <w:szCs w:val="22"/>
        </w:rPr>
        <w:t>that improve adolescent mental health</w:t>
      </w:r>
      <w:r w:rsidRPr="00DB5C24">
        <w:rPr>
          <w:rFonts w:ascii="Arial" w:hAnsi="Arial" w:cs="Arial"/>
          <w:sz w:val="22"/>
          <w:szCs w:val="22"/>
        </w:rPr>
        <w:t>.</w:t>
      </w:r>
    </w:p>
    <w:p w14:paraId="5737D84C" w14:textId="625EA7F4" w:rsidR="00DA6CC9" w:rsidRDefault="00DA6CC9" w:rsidP="00A81DF4">
      <w:pPr>
        <w:spacing w:after="120" w:line="240" w:lineRule="exact"/>
        <w:rPr>
          <w:rFonts w:ascii="Arial" w:hAnsi="Arial" w:cs="Arial"/>
          <w:sz w:val="22"/>
          <w:szCs w:val="22"/>
        </w:rPr>
      </w:pPr>
      <w:r>
        <w:rPr>
          <w:rFonts w:ascii="Arial" w:hAnsi="Arial" w:cs="Arial"/>
          <w:sz w:val="22"/>
          <w:szCs w:val="22"/>
        </w:rPr>
        <w:t>If improving adolescent mental health reduces the federal deficit, then this may partially or even completely offset the costs of a proposed policy. If the policy costs are offset, then, for the first time, policymakers will face reduced or even eliminated budget hurdles to enacting investments on the scale likely needed to shape the long-term trajectory of adolescent mental health in the U.S. In this paper, we seek to provide federal budget analysts with evidence for an elasticity that would enable more comprehensive budget modeling of proposed policies within their existing resources to enable this opportunity to improve population-level adolescent mental health.</w:t>
      </w:r>
    </w:p>
    <w:p w14:paraId="57236DDF" w14:textId="2038FE37" w:rsidR="006E5411" w:rsidRDefault="006E5411" w:rsidP="006E5411">
      <w:pPr>
        <w:spacing w:after="120" w:line="240" w:lineRule="exact"/>
        <w:rPr>
          <w:rFonts w:ascii="Arial" w:hAnsi="Arial" w:cs="Arial"/>
          <w:sz w:val="22"/>
          <w:szCs w:val="22"/>
        </w:rPr>
      </w:pPr>
      <w:r>
        <w:rPr>
          <w:rFonts w:ascii="Arial" w:hAnsi="Arial" w:cs="Arial"/>
          <w:sz w:val="22"/>
          <w:szCs w:val="22"/>
        </w:rPr>
        <w:t>Specifically, in a nationally representative sample of</w:t>
      </w:r>
      <w:r>
        <w:rPr>
          <w:rFonts w:ascii="Arial" w:hAnsi="Arial" w:cs="Arial"/>
          <w:sz w:val="22"/>
          <w:szCs w:val="22"/>
        </w:rPr>
        <w:t xml:space="preserve"> adolescents that completed a mental health screening instrument at the end of one year</w:t>
      </w:r>
      <w:r>
        <w:rPr>
          <w:rFonts w:ascii="Arial" w:hAnsi="Arial" w:cs="Arial"/>
          <w:sz w:val="22"/>
          <w:szCs w:val="22"/>
        </w:rPr>
        <w:t>, we estimate how those that screen above a cut-off or not – indicating potential depression and other mental health needs, such as anxiety –</w:t>
      </w:r>
      <w:r w:rsidRPr="006E5411">
        <w:rPr>
          <w:rFonts w:ascii="Arial" w:hAnsi="Arial" w:cs="Arial"/>
          <w:sz w:val="22"/>
          <w:szCs w:val="22"/>
        </w:rPr>
        <w:t xml:space="preserve"> </w:t>
      </w:r>
      <w:r>
        <w:rPr>
          <w:rFonts w:ascii="Arial" w:hAnsi="Arial" w:cs="Arial"/>
          <w:sz w:val="22"/>
          <w:szCs w:val="22"/>
        </w:rPr>
        <w:t xml:space="preserve">differ in labor force participation, usual hours worked, and annual earnings approximately 6, 13, 22, and 29 years later. Our approach seeks to simulate the average treatment effect on the treated (ATT) among adolescents who received a hypothetical mental health intervention over the course of a year which completely prevents or remits mental health challenges related to screening above the cut-off. While no intervention perfectly prevents or remits mental health challenges, with our estimate, policymakers can implement the streamlined strategy for estimating policy impacts on inputs into federal budget models, based on the intervention’s relative risk of preventing or remitting relevant mental health challenges. </w:t>
      </w:r>
    </w:p>
    <w:p w14:paraId="23756C49" w14:textId="562BB4D4" w:rsidR="00DA6CC9" w:rsidRDefault="00DA6CC9" w:rsidP="00A81DF4">
      <w:pPr>
        <w:spacing w:after="120" w:line="240" w:lineRule="exact"/>
        <w:rPr>
          <w:rFonts w:ascii="Arial" w:hAnsi="Arial" w:cs="Arial"/>
          <w:sz w:val="22"/>
          <w:szCs w:val="22"/>
        </w:rPr>
      </w:pPr>
      <w:r>
        <w:rPr>
          <w:rFonts w:ascii="Arial" w:hAnsi="Arial" w:cs="Arial"/>
          <w:sz w:val="22"/>
          <w:szCs w:val="22"/>
        </w:rPr>
        <w:t xml:space="preserve">As an extension, we share an open-source policy modeling tool that demonstrates how our estimates could be used to simulate the impacts of proposed policies on the federal budget. With the tool, users can explore the potential budget effects of different example policies, based on their </w:t>
      </w:r>
      <w:r>
        <w:rPr>
          <w:rFonts w:ascii="Arial" w:hAnsi="Arial" w:cs="Arial"/>
          <w:sz w:val="22"/>
          <w:szCs w:val="22"/>
        </w:rPr>
        <w:t>adolescent mental health</w:t>
      </w:r>
      <w:r>
        <w:rPr>
          <w:rFonts w:ascii="Arial" w:hAnsi="Arial" w:cs="Arial"/>
          <w:sz w:val="22"/>
          <w:szCs w:val="22"/>
        </w:rPr>
        <w:t xml:space="preserve"> impacts. Users can also vary the underlying assumptions or specify their own policy based on annual costs, penetration, and effectiveness. With this tool, we support policymakers in designing and proposing the most effective policies possible for improving adolescent mental health, within the realities of existing budget constraints.</w:t>
      </w:r>
    </w:p>
    <w:p w14:paraId="0F9F6D32" w14:textId="54AF844A" w:rsidR="00DA6CC9" w:rsidRPr="00A81DF4" w:rsidRDefault="00DA6CC9" w:rsidP="00A81DF4">
      <w:pPr>
        <w:spacing w:after="120" w:line="240" w:lineRule="exact"/>
        <w:rPr>
          <w:rFonts w:ascii="Arial" w:hAnsi="Arial" w:cs="Arial"/>
          <w:i/>
          <w:iCs/>
          <w:sz w:val="22"/>
          <w:szCs w:val="22"/>
        </w:rPr>
      </w:pPr>
      <w:r>
        <w:rPr>
          <w:rFonts w:ascii="Arial" w:hAnsi="Arial" w:cs="Arial"/>
          <w:i/>
          <w:iCs/>
          <w:sz w:val="22"/>
          <w:szCs w:val="22"/>
        </w:rPr>
        <w:t>Literature review</w:t>
      </w:r>
    </w:p>
    <w:p w14:paraId="51AC80D7" w14:textId="429E1263" w:rsidR="00DA6CC9" w:rsidRDefault="00DA6CC9" w:rsidP="008260D2">
      <w:pPr>
        <w:spacing w:after="120" w:line="240" w:lineRule="exact"/>
        <w:rPr>
          <w:rFonts w:ascii="Arial" w:hAnsi="Arial" w:cs="Arial"/>
          <w:sz w:val="22"/>
          <w:szCs w:val="22"/>
        </w:rPr>
      </w:pPr>
      <w:r>
        <w:rPr>
          <w:rFonts w:ascii="Arial" w:hAnsi="Arial" w:cs="Arial"/>
          <w:sz w:val="22"/>
          <w:szCs w:val="22"/>
        </w:rPr>
        <w:t xml:space="preserve">Adolescent mental health impacts later labor market outcomes through </w:t>
      </w:r>
      <w:r w:rsidR="006E5411">
        <w:rPr>
          <w:rFonts w:ascii="Arial" w:hAnsi="Arial" w:cs="Arial"/>
          <w:sz w:val="22"/>
          <w:szCs w:val="22"/>
        </w:rPr>
        <w:t>several</w:t>
      </w:r>
      <w:r>
        <w:rPr>
          <w:rFonts w:ascii="Arial" w:hAnsi="Arial" w:cs="Arial"/>
          <w:sz w:val="22"/>
          <w:szCs w:val="22"/>
        </w:rPr>
        <w:t xml:space="preserve"> mechanisms. Some mechanisms are internal, such as differences in memory, attention, and response to reward, while others are external, such stigma and healthcare costs.</w:t>
      </w:r>
      <w:r>
        <w:rPr>
          <w:rStyle w:val="EndnoteReference"/>
          <w:rFonts w:ascii="Arial" w:hAnsi="Arial" w:cs="Arial"/>
          <w:sz w:val="22"/>
          <w:szCs w:val="22"/>
        </w:rPr>
        <w:endnoteReference w:id="11"/>
      </w:r>
      <w:r>
        <w:rPr>
          <w:rFonts w:ascii="Arial" w:hAnsi="Arial" w:cs="Arial"/>
          <w:sz w:val="22"/>
          <w:szCs w:val="22"/>
        </w:rPr>
        <w:t xml:space="preserve"> Adolescence, in particular, heightens this relationship as the brain undergoes the rapid development of neural circuitry.</w:t>
      </w:r>
      <w:r>
        <w:rPr>
          <w:rStyle w:val="EndnoteReference"/>
          <w:rFonts w:ascii="Arial" w:hAnsi="Arial" w:cs="Arial"/>
          <w:sz w:val="22"/>
          <w:szCs w:val="22"/>
        </w:rPr>
        <w:endnoteReference w:id="12"/>
      </w:r>
      <w:r>
        <w:rPr>
          <w:rFonts w:ascii="Arial" w:hAnsi="Arial" w:cs="Arial"/>
          <w:sz w:val="22"/>
          <w:szCs w:val="22"/>
        </w:rPr>
        <w:t xml:space="preserve"> On a large enough scale, the labor market changes can then aggregate to influence the overall macroeconomy.</w:t>
      </w:r>
      <w:r w:rsidRPr="00356D67">
        <w:rPr>
          <w:rStyle w:val="EndnoteReference"/>
          <w:rFonts w:ascii="Arial" w:hAnsi="Arial" w:cs="Arial"/>
          <w:sz w:val="22"/>
          <w:szCs w:val="22"/>
        </w:rPr>
        <w:endnoteReference w:id="13"/>
      </w:r>
    </w:p>
    <w:p w14:paraId="7661B45A" w14:textId="19B3F0CA" w:rsidR="00DA6CC9" w:rsidRDefault="00DA6CC9" w:rsidP="00A81DF4">
      <w:pPr>
        <w:spacing w:after="120" w:line="240" w:lineRule="exact"/>
        <w:rPr>
          <w:rFonts w:ascii="Arial" w:hAnsi="Arial" w:cs="Arial"/>
          <w:sz w:val="22"/>
          <w:szCs w:val="22"/>
        </w:rPr>
      </w:pPr>
      <w:r>
        <w:rPr>
          <w:rFonts w:ascii="Arial" w:hAnsi="Arial" w:cs="Arial"/>
          <w:sz w:val="22"/>
          <w:szCs w:val="22"/>
        </w:rPr>
        <w:t xml:space="preserve">Randomized-controlled trials (RCTs) have provided strong evidence that interventions that address mental health can cause improved labor market outcomes. A meta-analysis of trials of psychosocial interventions </w:t>
      </w:r>
      <w:r>
        <w:rPr>
          <w:rFonts w:ascii="Arial" w:hAnsi="Arial" w:cs="Arial"/>
          <w:sz w:val="22"/>
          <w:szCs w:val="22"/>
        </w:rPr>
        <w:lastRenderedPageBreak/>
        <w:t>addressing common mental health conditions, such as depression and anxiety, in low- and middle-income countries found that treatment improved aggregate labor market outcomes by 0.16 standard deviations.</w:t>
      </w:r>
      <w:r>
        <w:rPr>
          <w:rStyle w:val="EndnoteReference"/>
          <w:rFonts w:ascii="Arial" w:hAnsi="Arial" w:cs="Arial"/>
          <w:sz w:val="22"/>
          <w:szCs w:val="22"/>
        </w:rPr>
        <w:endnoteReference w:id="14"/>
      </w:r>
      <w:r>
        <w:rPr>
          <w:rFonts w:ascii="Arial" w:hAnsi="Arial" w:cs="Arial"/>
          <w:sz w:val="22"/>
          <w:szCs w:val="22"/>
        </w:rPr>
        <w:t xml:space="preserve"> In the U.S., adult employees provided a digital mental health treatment through an employee assistance program demonstrated improved workplace productivity and absenteeism.</w:t>
      </w:r>
      <w:r>
        <w:rPr>
          <w:rStyle w:val="EndnoteReference"/>
          <w:rFonts w:ascii="Arial" w:hAnsi="Arial" w:cs="Arial"/>
          <w:sz w:val="22"/>
          <w:szCs w:val="22"/>
        </w:rPr>
        <w:endnoteReference w:id="15"/>
      </w:r>
    </w:p>
    <w:p w14:paraId="3294032A" w14:textId="4C8BFC92" w:rsidR="00DA6CC9" w:rsidRPr="00A81DF4" w:rsidRDefault="00DA6CC9" w:rsidP="00A81DF4">
      <w:pPr>
        <w:spacing w:after="120" w:line="240" w:lineRule="exact"/>
        <w:rPr>
          <w:rFonts w:ascii="Arial" w:hAnsi="Arial" w:cs="Arial"/>
          <w:sz w:val="22"/>
          <w:szCs w:val="22"/>
          <w:vertAlign w:val="superscript"/>
        </w:rPr>
      </w:pPr>
      <w:r>
        <w:rPr>
          <w:rFonts w:ascii="Arial" w:hAnsi="Arial" w:cs="Arial"/>
          <w:sz w:val="22"/>
          <w:szCs w:val="22"/>
        </w:rPr>
        <w:t xml:space="preserve">Other studies find potentially causal </w:t>
      </w:r>
      <w:r>
        <w:rPr>
          <w:rFonts w:ascii="Arial" w:hAnsi="Arial" w:cs="Arial"/>
          <w:sz w:val="22"/>
          <w:szCs w:val="22"/>
        </w:rPr>
        <w:t xml:space="preserve">relationships </w:t>
      </w:r>
      <w:r>
        <w:rPr>
          <w:rFonts w:ascii="Arial" w:hAnsi="Arial" w:cs="Arial"/>
          <w:sz w:val="22"/>
          <w:szCs w:val="22"/>
        </w:rPr>
        <w:t>or at least strong associations between adolescent mental health and later labor market outcomes using observational data from representative datasets</w:t>
      </w:r>
      <w:r w:rsidRPr="00356D67">
        <w:rPr>
          <w:rFonts w:ascii="Arial" w:hAnsi="Arial" w:cs="Arial"/>
          <w:sz w:val="22"/>
          <w:szCs w:val="22"/>
        </w:rPr>
        <w:t>.</w:t>
      </w:r>
      <w:r>
        <w:rPr>
          <w:rStyle w:val="EndnoteReference"/>
          <w:rFonts w:ascii="Arial" w:hAnsi="Arial" w:cs="Arial"/>
          <w:sz w:val="22"/>
          <w:szCs w:val="22"/>
        </w:rPr>
        <w:endnoteReference w:id="16"/>
      </w:r>
      <w:r w:rsidRPr="00356D67">
        <w:rPr>
          <w:rFonts w:ascii="Arial" w:hAnsi="Arial" w:cs="Arial"/>
          <w:sz w:val="22"/>
          <w:szCs w:val="22"/>
        </w:rPr>
        <w:t xml:space="preserve"> For example, one study </w:t>
      </w:r>
      <w:r>
        <w:rPr>
          <w:rFonts w:ascii="Arial" w:hAnsi="Arial" w:cs="Arial"/>
          <w:sz w:val="22"/>
          <w:szCs w:val="22"/>
        </w:rPr>
        <w:t>used</w:t>
      </w:r>
      <w:r w:rsidRPr="00356D67">
        <w:rPr>
          <w:rFonts w:ascii="Arial" w:hAnsi="Arial" w:cs="Arial"/>
          <w:sz w:val="22"/>
          <w:szCs w:val="22"/>
        </w:rPr>
        <w:t xml:space="preserve"> the Add Health dataset </w:t>
      </w:r>
      <w:r>
        <w:rPr>
          <w:rFonts w:ascii="Arial" w:hAnsi="Arial" w:cs="Arial"/>
          <w:sz w:val="22"/>
          <w:szCs w:val="22"/>
        </w:rPr>
        <w:t>and</w:t>
      </w:r>
      <w:r w:rsidRPr="00356D67">
        <w:rPr>
          <w:rFonts w:ascii="Arial" w:hAnsi="Arial" w:cs="Arial"/>
          <w:sz w:val="22"/>
          <w:szCs w:val="22"/>
        </w:rPr>
        <w:t xml:space="preserve"> parametric regressions, school-level and family-level fixed effects, and sibling comparisons </w:t>
      </w:r>
      <w:r>
        <w:rPr>
          <w:rFonts w:ascii="Arial" w:hAnsi="Arial" w:cs="Arial"/>
          <w:sz w:val="22"/>
          <w:szCs w:val="22"/>
        </w:rPr>
        <w:t>to find</w:t>
      </w:r>
      <w:r w:rsidRPr="00356D67">
        <w:rPr>
          <w:rFonts w:ascii="Arial" w:hAnsi="Arial" w:cs="Arial"/>
          <w:sz w:val="22"/>
          <w:szCs w:val="22"/>
        </w:rPr>
        <w:t xml:space="preserve"> that adolescent depression reduced employment by approximately 5 percentage points 13 years later.</w:t>
      </w:r>
      <w:r w:rsidRPr="00356D67">
        <w:rPr>
          <w:rStyle w:val="EndnoteReference"/>
          <w:rFonts w:ascii="Arial" w:hAnsi="Arial" w:cs="Arial"/>
          <w:sz w:val="22"/>
          <w:szCs w:val="22"/>
        </w:rPr>
        <w:endnoteReference w:id="17"/>
      </w:r>
      <w:r>
        <w:rPr>
          <w:rFonts w:ascii="Arial" w:hAnsi="Arial" w:cs="Arial"/>
          <w:sz w:val="22"/>
          <w:szCs w:val="22"/>
          <w:vertAlign w:val="superscript"/>
        </w:rPr>
        <w:t xml:space="preserve"> </w:t>
      </w:r>
      <w:r>
        <w:rPr>
          <w:rFonts w:ascii="Arial" w:hAnsi="Arial" w:cs="Arial"/>
          <w:sz w:val="22"/>
          <w:szCs w:val="22"/>
        </w:rPr>
        <w:t xml:space="preserve">Another study used the National Longitudinal Survey of Youth and parametric </w:t>
      </w:r>
      <w:r w:rsidRPr="00356D67">
        <w:rPr>
          <w:rFonts w:ascii="Arial" w:hAnsi="Arial" w:cs="Arial"/>
          <w:sz w:val="22"/>
          <w:szCs w:val="22"/>
        </w:rPr>
        <w:t>regression</w:t>
      </w:r>
      <w:r>
        <w:rPr>
          <w:rFonts w:ascii="Arial" w:hAnsi="Arial" w:cs="Arial"/>
          <w:sz w:val="22"/>
          <w:szCs w:val="22"/>
        </w:rPr>
        <w:t xml:space="preserve"> of adolescent depression on later wages, accounting for a set of covariates indicated by theory, to find a wage penalty between 10-15%.</w:t>
      </w:r>
      <w:r w:rsidRPr="00356D67">
        <w:rPr>
          <w:rStyle w:val="EndnoteReference"/>
          <w:rFonts w:ascii="Arial" w:hAnsi="Arial" w:cs="Arial"/>
          <w:sz w:val="22"/>
          <w:szCs w:val="22"/>
        </w:rPr>
        <w:endnoteReference w:id="18"/>
      </w:r>
    </w:p>
    <w:p w14:paraId="093F2827" w14:textId="6345A8AF" w:rsidR="00DA6CC9" w:rsidRDefault="00DA6CC9" w:rsidP="00A81DF4">
      <w:pPr>
        <w:spacing w:after="120" w:line="240" w:lineRule="exact"/>
        <w:rPr>
          <w:rFonts w:ascii="Arial" w:hAnsi="Arial" w:cs="Arial"/>
          <w:sz w:val="22"/>
          <w:szCs w:val="22"/>
          <w:vertAlign w:val="superscript"/>
        </w:rPr>
      </w:pPr>
      <w:r>
        <w:rPr>
          <w:rFonts w:ascii="Arial" w:hAnsi="Arial" w:cs="Arial"/>
          <w:sz w:val="22"/>
          <w:szCs w:val="22"/>
        </w:rPr>
        <w:t>A smaller set of studies examine the relationship between mental health and the macroeconomy. One study specified a structural macroeconomic model with mechanisms particular to mental health conditions, such as pessimism and rumination, to estimate the economic gains of different policy interventions.</w:t>
      </w:r>
      <w:r>
        <w:rPr>
          <w:rStyle w:val="EndnoteReference"/>
          <w:rFonts w:ascii="Arial" w:hAnsi="Arial" w:cs="Arial"/>
          <w:sz w:val="22"/>
          <w:szCs w:val="22"/>
        </w:rPr>
        <w:endnoteReference w:id="19"/>
      </w:r>
      <w:r>
        <w:rPr>
          <w:rFonts w:ascii="Arial" w:hAnsi="Arial" w:cs="Arial"/>
          <w:sz w:val="22"/>
          <w:szCs w:val="22"/>
        </w:rPr>
        <w:t xml:space="preserve"> Another study used the association between disability burden and economic outcomes to estimate</w:t>
      </w:r>
      <w:r w:rsidRPr="00356D67">
        <w:rPr>
          <w:rFonts w:ascii="Arial" w:hAnsi="Arial" w:cs="Arial"/>
          <w:sz w:val="22"/>
          <w:szCs w:val="22"/>
        </w:rPr>
        <w:t xml:space="preserve"> that averting 10% of the </w:t>
      </w:r>
      <w:r>
        <w:rPr>
          <w:rFonts w:ascii="Arial" w:hAnsi="Arial" w:cs="Arial"/>
          <w:sz w:val="22"/>
          <w:szCs w:val="22"/>
        </w:rPr>
        <w:t>mental health</w:t>
      </w:r>
      <w:r w:rsidRPr="00356D67">
        <w:rPr>
          <w:rFonts w:ascii="Arial" w:hAnsi="Arial" w:cs="Arial"/>
          <w:sz w:val="22"/>
          <w:szCs w:val="22"/>
        </w:rPr>
        <w:t xml:space="preserve"> conditions in the U.S. would be associated with almost $2 trillion in GDP growth over 35 years.</w:t>
      </w:r>
      <w:r w:rsidRPr="00356D67">
        <w:rPr>
          <w:rFonts w:ascii="Arial" w:hAnsi="Arial" w:cs="Arial"/>
          <w:sz w:val="22"/>
          <w:szCs w:val="22"/>
          <w:vertAlign w:val="superscript"/>
        </w:rPr>
        <w:endnoteReference w:id="20"/>
      </w:r>
    </w:p>
    <w:p w14:paraId="3FA5EA54" w14:textId="21BD433E" w:rsidR="00A81DF4" w:rsidRPr="00356D67" w:rsidRDefault="00A81DF4" w:rsidP="00A81DF4">
      <w:pPr>
        <w:spacing w:after="120" w:line="240" w:lineRule="exact"/>
        <w:rPr>
          <w:rFonts w:ascii="Arial" w:hAnsi="Arial" w:cs="Arial"/>
        </w:rPr>
      </w:pPr>
      <w:r>
        <w:rPr>
          <w:rFonts w:ascii="Arial" w:hAnsi="Arial" w:cs="Arial"/>
          <w:sz w:val="22"/>
          <w:szCs w:val="22"/>
        </w:rPr>
        <w:t xml:space="preserve">This prior research was conducted for different purposes than estimating an elasticity for a federal budget model and cannot be easily </w:t>
      </w:r>
      <w:r w:rsidR="009F0C51">
        <w:rPr>
          <w:rFonts w:ascii="Arial" w:hAnsi="Arial" w:cs="Arial"/>
          <w:sz w:val="22"/>
          <w:szCs w:val="22"/>
        </w:rPr>
        <w:t>used</w:t>
      </w:r>
      <w:r>
        <w:rPr>
          <w:rFonts w:ascii="Arial" w:hAnsi="Arial" w:cs="Arial"/>
          <w:sz w:val="22"/>
          <w:szCs w:val="22"/>
        </w:rPr>
        <w:t xml:space="preserve"> for this purpose. RCTs do not collect the necessary data over the relevant timeframe, and they test effects with small populations that may not transport to the general U.S. population. Further, the interventions </w:t>
      </w:r>
      <w:r w:rsidR="009F0C51">
        <w:rPr>
          <w:rFonts w:ascii="Arial" w:hAnsi="Arial" w:cs="Arial"/>
          <w:sz w:val="22"/>
          <w:szCs w:val="22"/>
        </w:rPr>
        <w:t xml:space="preserve">RCTs test </w:t>
      </w:r>
      <w:r>
        <w:rPr>
          <w:rFonts w:ascii="Arial" w:hAnsi="Arial" w:cs="Arial"/>
          <w:sz w:val="22"/>
          <w:szCs w:val="22"/>
        </w:rPr>
        <w:t xml:space="preserve">necessarily have effects beyond </w:t>
      </w:r>
      <w:r w:rsidR="009F0C51">
        <w:rPr>
          <w:rFonts w:ascii="Arial" w:hAnsi="Arial" w:cs="Arial"/>
          <w:sz w:val="22"/>
          <w:szCs w:val="22"/>
        </w:rPr>
        <w:t>just</w:t>
      </w:r>
      <w:r>
        <w:rPr>
          <w:rFonts w:ascii="Arial" w:hAnsi="Arial" w:cs="Arial"/>
          <w:sz w:val="22"/>
          <w:szCs w:val="22"/>
        </w:rPr>
        <w:t xml:space="preserve"> mental health, so the evaluations may </w:t>
      </w:r>
      <w:r w:rsidR="009F0C51">
        <w:rPr>
          <w:rFonts w:ascii="Arial" w:hAnsi="Arial" w:cs="Arial"/>
          <w:sz w:val="22"/>
          <w:szCs w:val="22"/>
        </w:rPr>
        <w:t>include</w:t>
      </w:r>
      <w:r>
        <w:rPr>
          <w:rFonts w:ascii="Arial" w:hAnsi="Arial" w:cs="Arial"/>
          <w:sz w:val="22"/>
          <w:szCs w:val="22"/>
        </w:rPr>
        <w:t xml:space="preserve"> other impacts as well. The studies with observational data use parametric methods and account for a small sample of confounders, posing a substantial risk of mis-specified regressions and unmeasured confounding.</w:t>
      </w:r>
      <w:r w:rsidR="008260D2">
        <w:rPr>
          <w:rFonts w:ascii="Arial" w:hAnsi="Arial" w:cs="Arial"/>
          <w:sz w:val="22"/>
          <w:szCs w:val="22"/>
        </w:rPr>
        <w:t xml:space="preserve"> Other strategies, such as sibling </w:t>
      </w:r>
      <w:proofErr w:type="gramStart"/>
      <w:r w:rsidR="008260D2">
        <w:rPr>
          <w:rFonts w:ascii="Arial" w:hAnsi="Arial" w:cs="Arial"/>
          <w:sz w:val="22"/>
          <w:szCs w:val="22"/>
        </w:rPr>
        <w:t>fixed-effects</w:t>
      </w:r>
      <w:proofErr w:type="gramEnd"/>
      <w:r w:rsidR="008260D2">
        <w:rPr>
          <w:rFonts w:ascii="Arial" w:hAnsi="Arial" w:cs="Arial"/>
          <w:sz w:val="22"/>
          <w:szCs w:val="22"/>
        </w:rPr>
        <w:t xml:space="preserve">, may also not generalize beyond the population of those with siblings. </w:t>
      </w:r>
    </w:p>
    <w:p w14:paraId="48816ED6" w14:textId="59301133" w:rsidR="00A81DF4" w:rsidRDefault="009F0C51" w:rsidP="00A81DF4">
      <w:pPr>
        <w:spacing w:after="120" w:line="240" w:lineRule="exact"/>
        <w:rPr>
          <w:rFonts w:ascii="Arial" w:hAnsi="Arial" w:cs="Arial"/>
          <w:sz w:val="22"/>
          <w:szCs w:val="22"/>
        </w:rPr>
      </w:pPr>
      <w:r>
        <w:rPr>
          <w:rFonts w:ascii="Arial" w:hAnsi="Arial" w:cs="Arial"/>
          <w:sz w:val="22"/>
          <w:szCs w:val="22"/>
        </w:rPr>
        <w:t xml:space="preserve">In this study, we build on this literature by using </w:t>
      </w:r>
      <w:r w:rsidR="006E5411">
        <w:rPr>
          <w:rFonts w:ascii="Arial" w:hAnsi="Arial" w:cs="Arial"/>
          <w:sz w:val="22"/>
          <w:szCs w:val="22"/>
        </w:rPr>
        <w:t xml:space="preserve">observational data from </w:t>
      </w:r>
      <w:r>
        <w:rPr>
          <w:rFonts w:ascii="Arial" w:hAnsi="Arial" w:cs="Arial"/>
          <w:sz w:val="22"/>
          <w:szCs w:val="22"/>
        </w:rPr>
        <w:t xml:space="preserve">a large </w:t>
      </w:r>
      <w:proofErr w:type="gramStart"/>
      <w:r>
        <w:rPr>
          <w:rFonts w:ascii="Arial" w:hAnsi="Arial" w:cs="Arial"/>
          <w:sz w:val="22"/>
          <w:szCs w:val="22"/>
        </w:rPr>
        <w:t>nationally-representative</w:t>
      </w:r>
      <w:proofErr w:type="gramEnd"/>
      <w:r>
        <w:rPr>
          <w:rFonts w:ascii="Arial" w:hAnsi="Arial" w:cs="Arial"/>
          <w:sz w:val="22"/>
          <w:szCs w:val="22"/>
        </w:rPr>
        <w:t xml:space="preserve"> dataset</w:t>
      </w:r>
      <w:r w:rsidR="006E5411">
        <w:rPr>
          <w:rFonts w:ascii="Arial" w:hAnsi="Arial" w:cs="Arial"/>
          <w:sz w:val="22"/>
          <w:szCs w:val="22"/>
        </w:rPr>
        <w:t xml:space="preserve"> and use non-parametric and </w:t>
      </w:r>
      <w:proofErr w:type="gramStart"/>
      <w:r w:rsidR="006E5411">
        <w:rPr>
          <w:rFonts w:ascii="Arial" w:hAnsi="Arial" w:cs="Arial"/>
          <w:sz w:val="22"/>
          <w:szCs w:val="22"/>
        </w:rPr>
        <w:t>doubly-robust</w:t>
      </w:r>
      <w:proofErr w:type="gramEnd"/>
      <w:r w:rsidR="006E5411">
        <w:rPr>
          <w:rFonts w:ascii="Arial" w:hAnsi="Arial" w:cs="Arial"/>
          <w:sz w:val="22"/>
          <w:szCs w:val="22"/>
        </w:rPr>
        <w:t xml:space="preserve"> regression</w:t>
      </w:r>
      <w:r w:rsidR="00FE5979">
        <w:rPr>
          <w:rFonts w:ascii="Arial" w:hAnsi="Arial" w:cs="Arial"/>
          <w:sz w:val="22"/>
          <w:szCs w:val="22"/>
        </w:rPr>
        <w:t xml:space="preserve"> methods</w:t>
      </w:r>
      <w:r w:rsidR="006E5411">
        <w:rPr>
          <w:rFonts w:ascii="Arial" w:hAnsi="Arial" w:cs="Arial"/>
          <w:sz w:val="22"/>
          <w:szCs w:val="22"/>
        </w:rPr>
        <w:t>, leveraging machine learning techniques</w:t>
      </w:r>
      <w:r w:rsidR="00FE5979">
        <w:rPr>
          <w:rFonts w:ascii="Arial" w:hAnsi="Arial" w:cs="Arial"/>
          <w:sz w:val="22"/>
          <w:szCs w:val="22"/>
        </w:rPr>
        <w:t xml:space="preserve"> to account for thousands of potential confounders</w:t>
      </w:r>
      <w:r w:rsidR="006E5411">
        <w:rPr>
          <w:rFonts w:ascii="Arial" w:hAnsi="Arial" w:cs="Arial"/>
          <w:sz w:val="22"/>
          <w:szCs w:val="22"/>
        </w:rPr>
        <w:t xml:space="preserve">, to estimate how adolescent </w:t>
      </w:r>
      <w:r w:rsidR="00FE5979">
        <w:rPr>
          <w:rFonts w:ascii="Arial" w:hAnsi="Arial" w:cs="Arial"/>
          <w:sz w:val="22"/>
          <w:szCs w:val="22"/>
        </w:rPr>
        <w:t>mental health challenges relate to later labor market outcomes most relevant to federal budget model inputs. Through our approach, we seek to address gaps in the literature most critical for federal budget analysts in modeling policies that improve adolescent mental health. Our approach can also serve as a model for producing estimates that can serve as budget model elasticities beyond adolescent mental health, supporting researchers to build the capacity of policymakers to invest across the most pressing public health needs.</w:t>
      </w:r>
    </w:p>
    <w:p w14:paraId="2885F224" w14:textId="77777777" w:rsidR="00A81DF4" w:rsidRDefault="00A81DF4" w:rsidP="00A81DF4">
      <w:pPr>
        <w:spacing w:after="120" w:line="240" w:lineRule="exact"/>
        <w:rPr>
          <w:rFonts w:ascii="Arial" w:hAnsi="Arial" w:cs="Arial"/>
          <w:sz w:val="22"/>
          <w:szCs w:val="22"/>
        </w:rPr>
      </w:pPr>
      <w:r>
        <w:rPr>
          <w:rFonts w:ascii="Arial" w:hAnsi="Arial" w:cs="Arial"/>
          <w:b/>
          <w:bCs/>
          <w:sz w:val="22"/>
          <w:szCs w:val="22"/>
        </w:rPr>
        <w:t>Methods</w:t>
      </w:r>
    </w:p>
    <w:p w14:paraId="35A72638" w14:textId="77777777" w:rsidR="00A81DF4" w:rsidRDefault="00A81DF4" w:rsidP="00A81DF4">
      <w:pPr>
        <w:spacing w:after="120" w:line="240" w:lineRule="exact"/>
        <w:rPr>
          <w:rFonts w:ascii="Arial" w:hAnsi="Arial" w:cs="Arial"/>
          <w:sz w:val="22"/>
          <w:szCs w:val="22"/>
        </w:rPr>
      </w:pPr>
      <w:r>
        <w:rPr>
          <w:rFonts w:ascii="Arial" w:hAnsi="Arial" w:cs="Arial"/>
          <w:b/>
          <w:bCs/>
          <w:sz w:val="22"/>
          <w:szCs w:val="22"/>
        </w:rPr>
        <w:t>Results</w:t>
      </w:r>
    </w:p>
    <w:p w14:paraId="687215B2" w14:textId="77777777" w:rsidR="00A81DF4" w:rsidRDefault="00A81DF4" w:rsidP="00A81DF4">
      <w:pPr>
        <w:spacing w:after="120" w:line="240" w:lineRule="exact"/>
        <w:rPr>
          <w:rFonts w:ascii="Arial" w:hAnsi="Arial" w:cs="Arial"/>
          <w:sz w:val="22"/>
          <w:szCs w:val="22"/>
        </w:rPr>
      </w:pPr>
      <w:r>
        <w:rPr>
          <w:rFonts w:ascii="Arial" w:hAnsi="Arial" w:cs="Arial"/>
          <w:sz w:val="22"/>
          <w:szCs w:val="22"/>
        </w:rPr>
        <w:t>[Figure 1: Sample Flow Diagrams]</w:t>
      </w:r>
    </w:p>
    <w:p w14:paraId="7BB74851" w14:textId="77777777" w:rsidR="00A81DF4" w:rsidRDefault="00A81DF4" w:rsidP="00A81DF4">
      <w:pPr>
        <w:spacing w:after="120" w:line="240" w:lineRule="exact"/>
        <w:rPr>
          <w:rFonts w:ascii="Arial" w:hAnsi="Arial" w:cs="Arial"/>
          <w:sz w:val="22"/>
          <w:szCs w:val="22"/>
        </w:rPr>
      </w:pPr>
      <w:r>
        <w:rPr>
          <w:rFonts w:ascii="Arial" w:hAnsi="Arial" w:cs="Arial"/>
          <w:sz w:val="22"/>
          <w:szCs w:val="22"/>
        </w:rPr>
        <w:t>[Table 1: Descriptive Statistics of the Sample]</w:t>
      </w:r>
    </w:p>
    <w:p w14:paraId="415E58E4" w14:textId="77777777" w:rsidR="00A81DF4" w:rsidRDefault="00A81DF4" w:rsidP="00A81DF4">
      <w:pPr>
        <w:spacing w:after="120" w:line="240" w:lineRule="exact"/>
        <w:rPr>
          <w:rFonts w:ascii="Arial" w:hAnsi="Arial" w:cs="Arial"/>
          <w:sz w:val="22"/>
          <w:szCs w:val="22"/>
        </w:rPr>
      </w:pPr>
      <w:r>
        <w:rPr>
          <w:rFonts w:ascii="Arial" w:hAnsi="Arial" w:cs="Arial"/>
          <w:sz w:val="22"/>
          <w:szCs w:val="22"/>
        </w:rPr>
        <w:t>[Table 2: Main Results from the Analysis]</w:t>
      </w:r>
    </w:p>
    <w:p w14:paraId="5B84FA45" w14:textId="77777777" w:rsidR="00A81DF4" w:rsidRDefault="00A81DF4" w:rsidP="00A81DF4">
      <w:pPr>
        <w:spacing w:after="120" w:line="240" w:lineRule="exact"/>
        <w:rPr>
          <w:rFonts w:ascii="Arial" w:hAnsi="Arial" w:cs="Arial"/>
          <w:sz w:val="22"/>
          <w:szCs w:val="22"/>
        </w:rPr>
      </w:pPr>
      <w:r>
        <w:rPr>
          <w:rFonts w:ascii="Arial" w:hAnsi="Arial" w:cs="Arial"/>
          <w:sz w:val="22"/>
          <w:szCs w:val="22"/>
        </w:rPr>
        <w:t>[Table 3: Representative Diagnostics and Sensitivity Analyses from One Outcome Estimate]</w:t>
      </w:r>
    </w:p>
    <w:p w14:paraId="178201EF" w14:textId="77777777" w:rsidR="00A81DF4" w:rsidRDefault="00A81DF4" w:rsidP="00A81DF4">
      <w:pPr>
        <w:spacing w:after="120" w:line="240" w:lineRule="exact"/>
        <w:rPr>
          <w:rFonts w:ascii="Arial" w:hAnsi="Arial" w:cs="Arial"/>
          <w:sz w:val="22"/>
          <w:szCs w:val="22"/>
        </w:rPr>
      </w:pPr>
      <w:r>
        <w:rPr>
          <w:rFonts w:ascii="Arial" w:hAnsi="Arial" w:cs="Arial"/>
          <w:sz w:val="22"/>
          <w:szCs w:val="22"/>
        </w:rPr>
        <w:t>[Table 4: Elasticity for How 1% Change in MH Prevalence Affects GDP and Federal Budget]</w:t>
      </w:r>
    </w:p>
    <w:p w14:paraId="7190F1A2" w14:textId="77777777" w:rsidR="00A81DF4" w:rsidRDefault="00A81DF4" w:rsidP="00A81DF4">
      <w:pPr>
        <w:spacing w:after="120" w:line="240" w:lineRule="exact"/>
        <w:rPr>
          <w:rFonts w:ascii="Arial" w:hAnsi="Arial" w:cs="Arial"/>
          <w:sz w:val="22"/>
          <w:szCs w:val="22"/>
        </w:rPr>
      </w:pPr>
      <w:r>
        <w:rPr>
          <w:rFonts w:ascii="Arial" w:hAnsi="Arial" w:cs="Arial"/>
          <w:sz w:val="22"/>
          <w:szCs w:val="22"/>
        </w:rPr>
        <w:t>[Figure 2: Screenshot of Policy Modeling Tool]</w:t>
      </w:r>
    </w:p>
    <w:p w14:paraId="485580C2" w14:textId="2314AFC6" w:rsidR="00A81DF4" w:rsidRDefault="00A81DF4" w:rsidP="00672891">
      <w:pPr>
        <w:spacing w:after="120" w:line="240" w:lineRule="exact"/>
        <w:rPr>
          <w:rFonts w:ascii="Arial" w:hAnsi="Arial" w:cs="Arial"/>
          <w:sz w:val="22"/>
          <w:szCs w:val="22"/>
        </w:rPr>
      </w:pPr>
      <w:r>
        <w:rPr>
          <w:rFonts w:ascii="Arial" w:hAnsi="Arial" w:cs="Arial"/>
          <w:b/>
          <w:bCs/>
          <w:sz w:val="22"/>
          <w:szCs w:val="22"/>
        </w:rPr>
        <w:t>Conclusion</w:t>
      </w:r>
    </w:p>
    <w:sectPr w:rsidR="00A81DF4" w:rsidSect="00E067EF">
      <w:endnotePr>
        <w:numFmt w:val="decimal"/>
      </w:endnotePr>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5AEF6" w14:textId="77777777" w:rsidR="00480F5A" w:rsidRDefault="00480F5A" w:rsidP="00F24843">
      <w:r>
        <w:separator/>
      </w:r>
    </w:p>
  </w:endnote>
  <w:endnote w:type="continuationSeparator" w:id="0">
    <w:p w14:paraId="4D0327AD" w14:textId="77777777" w:rsidR="00480F5A" w:rsidRDefault="00480F5A" w:rsidP="00F24843">
      <w:r>
        <w:continuationSeparator/>
      </w:r>
    </w:p>
  </w:endnote>
  <w:endnote w:type="continuationNotice" w:id="1">
    <w:p w14:paraId="2149D78E" w14:textId="77777777" w:rsidR="00480F5A" w:rsidRDefault="00480F5A"/>
  </w:endnote>
  <w:endnote w:id="2">
    <w:p w14:paraId="1AB0B840" w14:textId="43788E6D" w:rsidR="00DA6CC9" w:rsidRPr="002B1114" w:rsidRDefault="00DA6CC9">
      <w:pPr>
        <w:pStyle w:val="EndnoteText"/>
        <w:rPr>
          <w:rFonts w:ascii="Arial" w:hAnsi="Arial" w:cs="Arial"/>
          <w:b/>
          <w:bCs/>
          <w:sz w:val="22"/>
          <w:szCs w:val="22"/>
        </w:rPr>
      </w:pPr>
      <w:r w:rsidRPr="002B1114">
        <w:rPr>
          <w:rFonts w:ascii="Arial" w:hAnsi="Arial" w:cs="Arial"/>
          <w:b/>
          <w:bCs/>
          <w:sz w:val="22"/>
          <w:szCs w:val="22"/>
        </w:rPr>
        <w:t>References</w:t>
      </w:r>
    </w:p>
    <w:p w14:paraId="787F4C97" w14:textId="77777777" w:rsidR="00DA6CC9" w:rsidRPr="002B1114" w:rsidRDefault="00DA6CC9">
      <w:pPr>
        <w:pStyle w:val="EndnoteText"/>
        <w:rPr>
          <w:rFonts w:ascii="Arial" w:hAnsi="Arial" w:cs="Arial"/>
          <w:sz w:val="22"/>
          <w:szCs w:val="22"/>
        </w:rPr>
      </w:pPr>
    </w:p>
    <w:p w14:paraId="4C7DD2A6" w14:textId="56EB4486"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Substance Abuse and Mental Health Services Administration. 2024 NSDUH Detailed Tables [Internet]. Rockville (USA): Substance Abuse and Mental Health Services Administration; 2025 [cited 2026 Mar 23]. Available from: https://www.samhsa.gov/data/report/2024-nsduh-detailed-tables</w:t>
      </w:r>
    </w:p>
  </w:endnote>
  <w:endnote w:id="3">
    <w:p w14:paraId="012DE12A" w14:textId="27C461E0"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 xml:space="preserve">Forrest CB, Koenigsberg LJ, Eddy Harvey F, </w:t>
      </w:r>
      <w:proofErr w:type="spellStart"/>
      <w:r w:rsidRPr="002B1114">
        <w:rPr>
          <w:rFonts w:ascii="Arial" w:hAnsi="Arial" w:cs="Arial"/>
          <w:sz w:val="22"/>
          <w:szCs w:val="22"/>
        </w:rPr>
        <w:t>Maltenfort</w:t>
      </w:r>
      <w:proofErr w:type="spellEnd"/>
      <w:r w:rsidRPr="002B1114">
        <w:rPr>
          <w:rFonts w:ascii="Arial" w:hAnsi="Arial" w:cs="Arial"/>
          <w:sz w:val="22"/>
          <w:szCs w:val="22"/>
        </w:rPr>
        <w:t xml:space="preserve"> MG, Halfon N. Trends in US children’s mortality, chronic conditions, obesity, functional status, and symptoms. JAMA. 2025 Aug 12;334(6):509-16.</w:t>
      </w:r>
    </w:p>
  </w:endnote>
  <w:endnote w:id="4">
    <w:p w14:paraId="564677D8" w14:textId="64F11282"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Reynolds N. The broad decline in health and human capital of Americans born after 1947. American Economic Review: Insights. 2025 Jun 1;7(2):141-59.</w:t>
      </w:r>
    </w:p>
  </w:endnote>
  <w:endnote w:id="5">
    <w:p w14:paraId="49CF7027" w14:textId="77777777" w:rsidR="00DA6CC9" w:rsidRPr="002B1114" w:rsidRDefault="00DA6CC9" w:rsidP="007422C5">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proofErr w:type="spellStart"/>
      <w:r w:rsidRPr="002B1114">
        <w:rPr>
          <w:rFonts w:ascii="Arial" w:hAnsi="Arial" w:cs="Arial"/>
          <w:sz w:val="22"/>
          <w:szCs w:val="22"/>
        </w:rPr>
        <w:t>Ormel</w:t>
      </w:r>
      <w:proofErr w:type="spellEnd"/>
      <w:r w:rsidRPr="002B1114">
        <w:rPr>
          <w:rFonts w:ascii="Arial" w:hAnsi="Arial" w:cs="Arial"/>
          <w:sz w:val="22"/>
          <w:szCs w:val="22"/>
        </w:rPr>
        <w:t xml:space="preserve"> J, Hollon SD, Kessler RC, Cuijpers P, Monroe SM. More treatment but no less depression: The treatment-prevalence paradox. Clinical psychology review. 2022 Feb </w:t>
      </w:r>
      <w:proofErr w:type="gramStart"/>
      <w:r w:rsidRPr="002B1114">
        <w:rPr>
          <w:rFonts w:ascii="Arial" w:hAnsi="Arial" w:cs="Arial"/>
          <w:sz w:val="22"/>
          <w:szCs w:val="22"/>
        </w:rPr>
        <w:t>1;91:102111</w:t>
      </w:r>
      <w:proofErr w:type="gramEnd"/>
      <w:r w:rsidRPr="002B1114">
        <w:rPr>
          <w:rFonts w:ascii="Arial" w:hAnsi="Arial" w:cs="Arial"/>
          <w:sz w:val="22"/>
          <w:szCs w:val="22"/>
        </w:rPr>
        <w:t>.</w:t>
      </w:r>
    </w:p>
  </w:endnote>
  <w:endnote w:id="6">
    <w:p w14:paraId="3957F89B" w14:textId="61CE89B8"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Auerbach AJ, Gale W. Then and Now: A Look Back and Ahead at the Federal Budget. Tax Policy and the Economy. 2026 Jan 1;40(1):47-108.</w:t>
      </w:r>
    </w:p>
  </w:endnote>
  <w:endnote w:id="7">
    <w:p w14:paraId="1D7F15BE" w14:textId="34DB91B3"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Congressional Research Service. Dynamic Scoring in the Congressional Budget Process [Online]. Washington (USA): Congressional Research Service; 2023 Mar 6 [cited 2025 Nov 27]. Available from: https://www.congress.gov/crs-product/R46233</w:t>
      </w:r>
    </w:p>
  </w:endnote>
  <w:endnote w:id="8">
    <w:p w14:paraId="6FD074DB" w14:textId="55885BC5"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Knapp M, Wong G. Economics and mental health: the current scenario. World Psychiatry. 2020 Feb;19(1):3-14.</w:t>
      </w:r>
    </w:p>
  </w:endnote>
  <w:endnote w:id="9">
    <w:p w14:paraId="038D493E" w14:textId="7800D954"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color w:val="222222"/>
          <w:sz w:val="22"/>
          <w:szCs w:val="22"/>
          <w:shd w:val="clear" w:color="auto" w:fill="FFFFFF"/>
        </w:rPr>
        <w:t xml:space="preserve">McDaid D, Park AL, </w:t>
      </w:r>
      <w:proofErr w:type="spellStart"/>
      <w:r w:rsidRPr="002B1114">
        <w:rPr>
          <w:rFonts w:ascii="Arial" w:hAnsi="Arial" w:cs="Arial"/>
          <w:color w:val="222222"/>
          <w:sz w:val="22"/>
          <w:szCs w:val="22"/>
          <w:shd w:val="clear" w:color="auto" w:fill="FFFFFF"/>
        </w:rPr>
        <w:t>Wahlbeck</w:t>
      </w:r>
      <w:proofErr w:type="spellEnd"/>
      <w:r w:rsidRPr="002B1114">
        <w:rPr>
          <w:rFonts w:ascii="Arial" w:hAnsi="Arial" w:cs="Arial"/>
          <w:color w:val="222222"/>
          <w:sz w:val="22"/>
          <w:szCs w:val="22"/>
          <w:shd w:val="clear" w:color="auto" w:fill="FFFFFF"/>
        </w:rPr>
        <w:t xml:space="preserve"> K. The economic case for the prevention of mental illness. Annual review of public health. 2019 Apr 1;40(1):373-89.</w:t>
      </w:r>
    </w:p>
  </w:endnote>
  <w:endnote w:id="10">
    <w:p w14:paraId="7C7A5635" w14:textId="0EEE9473"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Elmendorf D, Hubbard G, Williams H. Dynamic Scoring: A Progress Report on Why, When, and How. Brookings Papers on Economic Activity. Washington (USA): The Brookings Institution; 2024 Sep 26.</w:t>
      </w:r>
    </w:p>
  </w:endnote>
  <w:endnote w:id="11">
    <w:p w14:paraId="73AF1375" w14:textId="77777777" w:rsidR="00DA6CC9" w:rsidRPr="002B1114" w:rsidRDefault="00DA6CC9" w:rsidP="0016666E">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Ridley M, Rao G, </w:t>
      </w:r>
      <w:proofErr w:type="spellStart"/>
      <w:r w:rsidRPr="002B1114">
        <w:rPr>
          <w:rFonts w:ascii="Arial" w:hAnsi="Arial" w:cs="Arial"/>
          <w:sz w:val="22"/>
          <w:szCs w:val="22"/>
        </w:rPr>
        <w:t>Schilbach</w:t>
      </w:r>
      <w:proofErr w:type="spellEnd"/>
      <w:r w:rsidRPr="002B1114">
        <w:rPr>
          <w:rFonts w:ascii="Arial" w:hAnsi="Arial" w:cs="Arial"/>
          <w:sz w:val="22"/>
          <w:szCs w:val="22"/>
        </w:rPr>
        <w:t xml:space="preserve"> F, Patel V. Poverty, depression, and anxiety: Causal evidence and mechanisms. Science. 2020 Dec 11;370(6522</w:t>
      </w:r>
      <w:proofErr w:type="gramStart"/>
      <w:r w:rsidRPr="002B1114">
        <w:rPr>
          <w:rFonts w:ascii="Arial" w:hAnsi="Arial" w:cs="Arial"/>
          <w:sz w:val="22"/>
          <w:szCs w:val="22"/>
        </w:rPr>
        <w:t>):eaay</w:t>
      </w:r>
      <w:proofErr w:type="gramEnd"/>
      <w:r w:rsidRPr="002B1114">
        <w:rPr>
          <w:rFonts w:ascii="Arial" w:hAnsi="Arial" w:cs="Arial"/>
          <w:sz w:val="22"/>
          <w:szCs w:val="22"/>
        </w:rPr>
        <w:t>0214.</w:t>
      </w:r>
    </w:p>
  </w:endnote>
  <w:endnote w:id="12">
    <w:p w14:paraId="6515BA33" w14:textId="2C03B7BD"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color w:val="222222"/>
          <w:sz w:val="22"/>
          <w:szCs w:val="22"/>
          <w:shd w:val="clear" w:color="auto" w:fill="FFFFFF"/>
        </w:rPr>
        <w:t xml:space="preserve">Blakemore SJ. Adolescence and mental health. The </w:t>
      </w:r>
      <w:r w:rsidRPr="002B1114">
        <w:rPr>
          <w:rFonts w:ascii="Arial" w:hAnsi="Arial" w:cs="Arial"/>
          <w:color w:val="222222"/>
          <w:sz w:val="22"/>
          <w:szCs w:val="22"/>
          <w:shd w:val="clear" w:color="auto" w:fill="FFFFFF"/>
        </w:rPr>
        <w:t>L</w:t>
      </w:r>
      <w:r w:rsidRPr="002B1114">
        <w:rPr>
          <w:rFonts w:ascii="Arial" w:hAnsi="Arial" w:cs="Arial"/>
          <w:color w:val="222222"/>
          <w:sz w:val="22"/>
          <w:szCs w:val="22"/>
          <w:shd w:val="clear" w:color="auto" w:fill="FFFFFF"/>
        </w:rPr>
        <w:t>ancet. 2019 May 18;393(10185):2030-1.</w:t>
      </w:r>
    </w:p>
  </w:endnote>
  <w:endnote w:id="13">
    <w:p w14:paraId="0BC2EEC2" w14:textId="77777777" w:rsidR="00DA6CC9" w:rsidRPr="002B1114" w:rsidRDefault="00DA6CC9" w:rsidP="0016666E">
      <w:pPr>
        <w:pStyle w:val="EndnoteText"/>
        <w:rPr>
          <w:rFonts w:ascii="Arial" w:hAnsi="Arial" w:cs="Arial"/>
          <w:sz w:val="22"/>
          <w:szCs w:val="22"/>
        </w:rPr>
      </w:pPr>
      <w:r w:rsidRPr="002B1114">
        <w:rPr>
          <w:rStyle w:val="EndnoteReference"/>
          <w:rFonts w:ascii="Arial" w:hAnsi="Arial" w:cs="Arial"/>
          <w:sz w:val="22"/>
          <w:szCs w:val="22"/>
          <w:vertAlign w:val="baseline"/>
        </w:rPr>
        <w:endnoteRef/>
      </w:r>
      <w:r w:rsidRPr="002B1114">
        <w:rPr>
          <w:rFonts w:ascii="Arial" w:hAnsi="Arial" w:cs="Arial"/>
          <w:sz w:val="22"/>
          <w:szCs w:val="22"/>
        </w:rPr>
        <w:t xml:space="preserve">. Bloom DE, Canning D, Kotschy R, Prettner K, </w:t>
      </w:r>
      <w:proofErr w:type="spellStart"/>
      <w:r w:rsidRPr="002B1114">
        <w:rPr>
          <w:rFonts w:ascii="Arial" w:hAnsi="Arial" w:cs="Arial"/>
          <w:sz w:val="22"/>
          <w:szCs w:val="22"/>
        </w:rPr>
        <w:t>Schünemann</w:t>
      </w:r>
      <w:proofErr w:type="spellEnd"/>
      <w:r w:rsidRPr="002B1114">
        <w:rPr>
          <w:rFonts w:ascii="Arial" w:hAnsi="Arial" w:cs="Arial"/>
          <w:sz w:val="22"/>
          <w:szCs w:val="22"/>
        </w:rPr>
        <w:t xml:space="preserve"> J. Health and economic growth: Reconciling the micro and macro evidence. World Development. 2024 Jun </w:t>
      </w:r>
      <w:proofErr w:type="gramStart"/>
      <w:r w:rsidRPr="002B1114">
        <w:rPr>
          <w:rFonts w:ascii="Arial" w:hAnsi="Arial" w:cs="Arial"/>
          <w:sz w:val="22"/>
          <w:szCs w:val="22"/>
        </w:rPr>
        <w:t>1;178:106575</w:t>
      </w:r>
      <w:proofErr w:type="gramEnd"/>
      <w:r w:rsidRPr="002B1114">
        <w:rPr>
          <w:rFonts w:ascii="Arial" w:hAnsi="Arial" w:cs="Arial"/>
          <w:sz w:val="22"/>
          <w:szCs w:val="22"/>
        </w:rPr>
        <w:t>.</w:t>
      </w:r>
    </w:p>
  </w:endnote>
  <w:endnote w:id="14">
    <w:p w14:paraId="784454F6" w14:textId="4D17157A"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Lund C, Orkin K, Witte M, Walker JH, Davies T, Haushofer J, Murray S, Bass J, Murray L, Tol W, Patel VH. The effects of mental health interventions on labor market outcomes in low-and middle-income countries. National Bureau of Economic Research; 2024 May 13.</w:t>
      </w:r>
    </w:p>
  </w:endnote>
  <w:endnote w:id="15">
    <w:p w14:paraId="0A9BBECE" w14:textId="0AD9F3D1"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 xml:space="preserve">Birney AJ, Gunn R, Russell JK, Ary DV. </w:t>
      </w:r>
      <w:proofErr w:type="spellStart"/>
      <w:r w:rsidRPr="002B1114">
        <w:rPr>
          <w:rFonts w:ascii="Arial" w:hAnsi="Arial" w:cs="Arial"/>
          <w:sz w:val="22"/>
          <w:szCs w:val="22"/>
        </w:rPr>
        <w:t>MoodHacker</w:t>
      </w:r>
      <w:proofErr w:type="spellEnd"/>
      <w:r w:rsidRPr="002B1114">
        <w:rPr>
          <w:rFonts w:ascii="Arial" w:hAnsi="Arial" w:cs="Arial"/>
          <w:sz w:val="22"/>
          <w:szCs w:val="22"/>
        </w:rPr>
        <w:t xml:space="preserve"> mobile web app with email for adults to self-manage mild-to-moderate depression: randomized controlled trial. JMIR mHealth and </w:t>
      </w:r>
      <w:proofErr w:type="spellStart"/>
      <w:r w:rsidRPr="002B1114">
        <w:rPr>
          <w:rFonts w:ascii="Arial" w:hAnsi="Arial" w:cs="Arial"/>
          <w:sz w:val="22"/>
          <w:szCs w:val="22"/>
        </w:rPr>
        <w:t>uHealth</w:t>
      </w:r>
      <w:proofErr w:type="spellEnd"/>
      <w:r w:rsidRPr="002B1114">
        <w:rPr>
          <w:rFonts w:ascii="Arial" w:hAnsi="Arial" w:cs="Arial"/>
          <w:sz w:val="22"/>
          <w:szCs w:val="22"/>
        </w:rPr>
        <w:t>. 2016 Jan 26;4(1</w:t>
      </w:r>
      <w:proofErr w:type="gramStart"/>
      <w:r w:rsidRPr="002B1114">
        <w:rPr>
          <w:rFonts w:ascii="Arial" w:hAnsi="Arial" w:cs="Arial"/>
          <w:sz w:val="22"/>
          <w:szCs w:val="22"/>
        </w:rPr>
        <w:t>):e</w:t>
      </w:r>
      <w:proofErr w:type="gramEnd"/>
      <w:r w:rsidRPr="002B1114">
        <w:rPr>
          <w:rFonts w:ascii="Arial" w:hAnsi="Arial" w:cs="Arial"/>
          <w:sz w:val="22"/>
          <w:szCs w:val="22"/>
        </w:rPr>
        <w:t>8.</w:t>
      </w:r>
    </w:p>
  </w:endnote>
  <w:endnote w:id="16">
    <w:p w14:paraId="488A880D" w14:textId="28E21D28"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 xml:space="preserve">Evensen M, Lyngstad TH, </w:t>
      </w:r>
      <w:proofErr w:type="spellStart"/>
      <w:r w:rsidRPr="002B1114">
        <w:rPr>
          <w:rFonts w:ascii="Arial" w:hAnsi="Arial" w:cs="Arial"/>
          <w:sz w:val="22"/>
          <w:szCs w:val="22"/>
        </w:rPr>
        <w:t>Melkevik</w:t>
      </w:r>
      <w:proofErr w:type="spellEnd"/>
      <w:r w:rsidRPr="002B1114">
        <w:rPr>
          <w:rFonts w:ascii="Arial" w:hAnsi="Arial" w:cs="Arial"/>
          <w:sz w:val="22"/>
          <w:szCs w:val="22"/>
        </w:rPr>
        <w:t xml:space="preserve"> O, </w:t>
      </w:r>
      <w:proofErr w:type="spellStart"/>
      <w:r w:rsidRPr="002B1114">
        <w:rPr>
          <w:rFonts w:ascii="Arial" w:hAnsi="Arial" w:cs="Arial"/>
          <w:sz w:val="22"/>
          <w:szCs w:val="22"/>
        </w:rPr>
        <w:t>Reneflot</w:t>
      </w:r>
      <w:proofErr w:type="spellEnd"/>
      <w:r w:rsidRPr="002B1114">
        <w:rPr>
          <w:rFonts w:ascii="Arial" w:hAnsi="Arial" w:cs="Arial"/>
          <w:sz w:val="22"/>
          <w:szCs w:val="22"/>
        </w:rPr>
        <w:t xml:space="preserve"> A, </w:t>
      </w:r>
      <w:proofErr w:type="spellStart"/>
      <w:r w:rsidRPr="002B1114">
        <w:rPr>
          <w:rFonts w:ascii="Arial" w:hAnsi="Arial" w:cs="Arial"/>
          <w:sz w:val="22"/>
          <w:szCs w:val="22"/>
        </w:rPr>
        <w:t>Mykletun</w:t>
      </w:r>
      <w:proofErr w:type="spellEnd"/>
      <w:r w:rsidRPr="002B1114">
        <w:rPr>
          <w:rFonts w:ascii="Arial" w:hAnsi="Arial" w:cs="Arial"/>
          <w:sz w:val="22"/>
          <w:szCs w:val="22"/>
        </w:rPr>
        <w:t xml:space="preserve"> A. Adolescent mental health and earnings inequalities in adulthood: evidence from the Young-HUNT Study. J Epidemiol Community Health. 2017 Feb 1;71(2):201-6.</w:t>
      </w:r>
    </w:p>
  </w:endnote>
  <w:endnote w:id="17">
    <w:p w14:paraId="58AECF87" w14:textId="77777777" w:rsidR="00DA6CC9" w:rsidRPr="002B1114" w:rsidRDefault="00DA6CC9" w:rsidP="00A81DF4">
      <w:pPr>
        <w:pStyle w:val="EndnoteText"/>
        <w:rPr>
          <w:rFonts w:ascii="Arial" w:hAnsi="Arial" w:cs="Arial"/>
          <w:sz w:val="22"/>
          <w:szCs w:val="22"/>
        </w:rPr>
      </w:pPr>
      <w:r w:rsidRPr="002B1114">
        <w:rPr>
          <w:rStyle w:val="EndnoteReference"/>
          <w:rFonts w:ascii="Arial" w:hAnsi="Arial" w:cs="Arial"/>
          <w:sz w:val="22"/>
          <w:szCs w:val="22"/>
          <w:vertAlign w:val="baseline"/>
        </w:rPr>
        <w:endnoteRef/>
      </w:r>
      <w:r w:rsidRPr="002B1114">
        <w:rPr>
          <w:rFonts w:ascii="Arial" w:hAnsi="Arial" w:cs="Arial"/>
          <w:sz w:val="22"/>
          <w:szCs w:val="22"/>
        </w:rPr>
        <w:t>. Fletcher J. Adolescent Depression and Adult Labor Market Outcomes. South Econ J. 2013 Jul;80(1):26–49.</w:t>
      </w:r>
    </w:p>
  </w:endnote>
  <w:endnote w:id="18">
    <w:p w14:paraId="3147A63F" w14:textId="77777777" w:rsidR="00DA6CC9" w:rsidRPr="002B1114" w:rsidRDefault="00DA6CC9" w:rsidP="00A81DF4">
      <w:pPr>
        <w:pStyle w:val="EndnoteText"/>
        <w:rPr>
          <w:rFonts w:ascii="Arial" w:hAnsi="Arial" w:cs="Arial"/>
          <w:sz w:val="22"/>
          <w:szCs w:val="22"/>
        </w:rPr>
      </w:pPr>
      <w:r w:rsidRPr="002B1114">
        <w:rPr>
          <w:rStyle w:val="EndnoteReference"/>
          <w:rFonts w:ascii="Arial" w:hAnsi="Arial" w:cs="Arial"/>
          <w:sz w:val="22"/>
          <w:szCs w:val="22"/>
          <w:vertAlign w:val="baseline"/>
        </w:rPr>
        <w:endnoteRef/>
      </w:r>
      <w:r w:rsidRPr="002B1114">
        <w:rPr>
          <w:rFonts w:ascii="Arial" w:hAnsi="Arial" w:cs="Arial"/>
          <w:sz w:val="22"/>
          <w:szCs w:val="22"/>
        </w:rPr>
        <w:t>. Johar M, Truong J. Direct and Indirect Effect of Depression in Adolescence on Adult Wages. Appl Econ. 2014 Dec 22;46(36):4431–44.</w:t>
      </w:r>
    </w:p>
  </w:endnote>
  <w:endnote w:id="19">
    <w:p w14:paraId="12E4567E" w14:textId="73A9B5AD" w:rsidR="00DA6CC9" w:rsidRPr="002B1114" w:rsidRDefault="00DA6CC9">
      <w:pPr>
        <w:pStyle w:val="EndnoteText"/>
        <w:rPr>
          <w:rFonts w:ascii="Arial" w:hAnsi="Arial" w:cs="Arial"/>
          <w:sz w:val="22"/>
          <w:szCs w:val="22"/>
        </w:rPr>
      </w:pPr>
      <w:r w:rsidRPr="002B1114">
        <w:rPr>
          <w:rStyle w:val="EndnoteReference"/>
          <w:rFonts w:ascii="Arial" w:hAnsi="Arial" w:cs="Arial"/>
          <w:sz w:val="22"/>
          <w:szCs w:val="22"/>
        </w:rPr>
        <w:endnoteRef/>
      </w:r>
      <w:r w:rsidRPr="002B1114">
        <w:rPr>
          <w:rFonts w:ascii="Arial" w:hAnsi="Arial" w:cs="Arial"/>
          <w:sz w:val="22"/>
          <w:szCs w:val="22"/>
        </w:rPr>
        <w:t xml:space="preserve"> </w:t>
      </w:r>
      <w:r w:rsidRPr="002B1114">
        <w:rPr>
          <w:rFonts w:ascii="Arial" w:hAnsi="Arial" w:cs="Arial"/>
          <w:sz w:val="22"/>
          <w:szCs w:val="22"/>
        </w:rPr>
        <w:t xml:space="preserve">Abramson B, Boerma J, </w:t>
      </w:r>
      <w:proofErr w:type="spellStart"/>
      <w:r w:rsidRPr="002B1114">
        <w:rPr>
          <w:rFonts w:ascii="Arial" w:hAnsi="Arial" w:cs="Arial"/>
          <w:sz w:val="22"/>
          <w:szCs w:val="22"/>
        </w:rPr>
        <w:t>Tsyvinski</w:t>
      </w:r>
      <w:proofErr w:type="spellEnd"/>
      <w:r w:rsidRPr="002B1114">
        <w:rPr>
          <w:rFonts w:ascii="Arial" w:hAnsi="Arial" w:cs="Arial"/>
          <w:sz w:val="22"/>
          <w:szCs w:val="22"/>
        </w:rPr>
        <w:t xml:space="preserve"> A. Macroeconomics of mental health. National Bureau of Economic Research; 2024 Apr 22.</w:t>
      </w:r>
    </w:p>
  </w:endnote>
  <w:endnote w:id="20">
    <w:p w14:paraId="36F06790" w14:textId="77777777" w:rsidR="00DA6CC9" w:rsidRPr="002B1114" w:rsidRDefault="00DA6CC9" w:rsidP="00A81DF4">
      <w:pPr>
        <w:pStyle w:val="EndnoteText"/>
        <w:rPr>
          <w:rFonts w:ascii="Arial" w:hAnsi="Arial" w:cs="Arial"/>
          <w:sz w:val="22"/>
          <w:szCs w:val="22"/>
        </w:rPr>
      </w:pPr>
      <w:r w:rsidRPr="002B1114">
        <w:rPr>
          <w:rStyle w:val="EndnoteReference"/>
          <w:rFonts w:ascii="Arial" w:hAnsi="Arial" w:cs="Arial"/>
          <w:sz w:val="22"/>
          <w:szCs w:val="22"/>
          <w:vertAlign w:val="baseline"/>
        </w:rPr>
        <w:endnoteRef/>
      </w:r>
      <w:r w:rsidRPr="002B1114">
        <w:rPr>
          <w:rFonts w:ascii="Arial" w:hAnsi="Arial" w:cs="Arial"/>
          <w:sz w:val="22"/>
          <w:szCs w:val="22"/>
        </w:rPr>
        <w:t xml:space="preserve">. Chen S, Kuhn M, Prettner K, Bloom DE. The Macroeconomic Burden of Noncommunicable Diseases in the United States: Estimates and Projections. </w:t>
      </w:r>
      <w:proofErr w:type="spellStart"/>
      <w:r w:rsidRPr="002B1114">
        <w:rPr>
          <w:rFonts w:ascii="Arial" w:hAnsi="Arial" w:cs="Arial"/>
          <w:sz w:val="22"/>
          <w:szCs w:val="22"/>
        </w:rPr>
        <w:t>PloS</w:t>
      </w:r>
      <w:proofErr w:type="spellEnd"/>
      <w:r w:rsidRPr="002B1114">
        <w:rPr>
          <w:rFonts w:ascii="Arial" w:hAnsi="Arial" w:cs="Arial"/>
          <w:sz w:val="22"/>
          <w:szCs w:val="22"/>
        </w:rPr>
        <w:t xml:space="preserve"> One. 2018 Nov 1;13(11</w:t>
      </w:r>
      <w:proofErr w:type="gramStart"/>
      <w:r w:rsidRPr="002B1114">
        <w:rPr>
          <w:rFonts w:ascii="Arial" w:hAnsi="Arial" w:cs="Arial"/>
          <w:sz w:val="22"/>
          <w:szCs w:val="22"/>
        </w:rPr>
        <w:t>):e</w:t>
      </w:r>
      <w:proofErr w:type="gramEnd"/>
      <w:r w:rsidRPr="002B1114">
        <w:rPr>
          <w:rFonts w:ascii="Arial" w:hAnsi="Arial" w:cs="Arial"/>
          <w:sz w:val="22"/>
          <w:szCs w:val="22"/>
        </w:rPr>
        <w:t>0206702.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307B0" w14:textId="77777777" w:rsidR="00480F5A" w:rsidRDefault="00480F5A" w:rsidP="00F24843">
      <w:r>
        <w:separator/>
      </w:r>
    </w:p>
  </w:footnote>
  <w:footnote w:type="continuationSeparator" w:id="0">
    <w:p w14:paraId="76A0587B" w14:textId="77777777" w:rsidR="00480F5A" w:rsidRDefault="00480F5A" w:rsidP="00F24843">
      <w:r>
        <w:continuationSeparator/>
      </w:r>
    </w:p>
  </w:footnote>
  <w:footnote w:type="continuationNotice" w:id="1">
    <w:p w14:paraId="49724AC0" w14:textId="77777777" w:rsidR="00480F5A" w:rsidRDefault="00480F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7C8"/>
    <w:multiLevelType w:val="hybridMultilevel"/>
    <w:tmpl w:val="11B4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84E8E"/>
    <w:multiLevelType w:val="multilevel"/>
    <w:tmpl w:val="B534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F21384"/>
    <w:multiLevelType w:val="hybridMultilevel"/>
    <w:tmpl w:val="DB3E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856E78"/>
    <w:multiLevelType w:val="hybridMultilevel"/>
    <w:tmpl w:val="A36CEBD6"/>
    <w:lvl w:ilvl="0" w:tplc="8DFC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710752"/>
    <w:multiLevelType w:val="hybridMultilevel"/>
    <w:tmpl w:val="261A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DB0CAA"/>
    <w:multiLevelType w:val="hybridMultilevel"/>
    <w:tmpl w:val="27E2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016C32"/>
    <w:multiLevelType w:val="hybridMultilevel"/>
    <w:tmpl w:val="FE001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F35940"/>
    <w:multiLevelType w:val="hybridMultilevel"/>
    <w:tmpl w:val="4F9A4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E80378"/>
    <w:multiLevelType w:val="multilevel"/>
    <w:tmpl w:val="821A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4942491">
    <w:abstractNumId w:val="1"/>
  </w:num>
  <w:num w:numId="2" w16cid:durableId="696349314">
    <w:abstractNumId w:val="8"/>
  </w:num>
  <w:num w:numId="3" w16cid:durableId="2072262978">
    <w:abstractNumId w:val="4"/>
  </w:num>
  <w:num w:numId="4" w16cid:durableId="130441630">
    <w:abstractNumId w:val="3"/>
  </w:num>
  <w:num w:numId="5" w16cid:durableId="1649238892">
    <w:abstractNumId w:val="7"/>
  </w:num>
  <w:num w:numId="6" w16cid:durableId="1756976134">
    <w:abstractNumId w:val="2"/>
  </w:num>
  <w:num w:numId="7" w16cid:durableId="1540822696">
    <w:abstractNumId w:val="5"/>
  </w:num>
  <w:num w:numId="8" w16cid:durableId="364336196">
    <w:abstractNumId w:val="6"/>
  </w:num>
  <w:num w:numId="9" w16cid:durableId="57739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attachedTemplate r:id="rId1"/>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F6D"/>
    <w:rsid w:val="000041B7"/>
    <w:rsid w:val="00005AE7"/>
    <w:rsid w:val="00005DA3"/>
    <w:rsid w:val="00005F12"/>
    <w:rsid w:val="00007030"/>
    <w:rsid w:val="00010538"/>
    <w:rsid w:val="00013F90"/>
    <w:rsid w:val="0001413C"/>
    <w:rsid w:val="00016DF0"/>
    <w:rsid w:val="00023C4F"/>
    <w:rsid w:val="0002431C"/>
    <w:rsid w:val="000269D9"/>
    <w:rsid w:val="00026F8B"/>
    <w:rsid w:val="0003311A"/>
    <w:rsid w:val="00033704"/>
    <w:rsid w:val="00034CBA"/>
    <w:rsid w:val="00035AAB"/>
    <w:rsid w:val="0003744D"/>
    <w:rsid w:val="000401CE"/>
    <w:rsid w:val="000406AF"/>
    <w:rsid w:val="000407CC"/>
    <w:rsid w:val="000419F4"/>
    <w:rsid w:val="000445B1"/>
    <w:rsid w:val="000447EE"/>
    <w:rsid w:val="00047437"/>
    <w:rsid w:val="000505E3"/>
    <w:rsid w:val="00050CA1"/>
    <w:rsid w:val="000516B2"/>
    <w:rsid w:val="00053771"/>
    <w:rsid w:val="0005496F"/>
    <w:rsid w:val="0005708E"/>
    <w:rsid w:val="0005769C"/>
    <w:rsid w:val="0006103E"/>
    <w:rsid w:val="00061987"/>
    <w:rsid w:val="0006267C"/>
    <w:rsid w:val="00062E50"/>
    <w:rsid w:val="000636F5"/>
    <w:rsid w:val="000645F1"/>
    <w:rsid w:val="00065D10"/>
    <w:rsid w:val="0006656A"/>
    <w:rsid w:val="0007098C"/>
    <w:rsid w:val="00074C05"/>
    <w:rsid w:val="000757DA"/>
    <w:rsid w:val="00075AC9"/>
    <w:rsid w:val="000772B2"/>
    <w:rsid w:val="00080F2C"/>
    <w:rsid w:val="0008103E"/>
    <w:rsid w:val="00082530"/>
    <w:rsid w:val="000848AF"/>
    <w:rsid w:val="00086273"/>
    <w:rsid w:val="00086566"/>
    <w:rsid w:val="000903EA"/>
    <w:rsid w:val="0009196A"/>
    <w:rsid w:val="000943F2"/>
    <w:rsid w:val="00097551"/>
    <w:rsid w:val="000A014E"/>
    <w:rsid w:val="000A0714"/>
    <w:rsid w:val="000A137E"/>
    <w:rsid w:val="000A1874"/>
    <w:rsid w:val="000A1888"/>
    <w:rsid w:val="000A20E0"/>
    <w:rsid w:val="000A4260"/>
    <w:rsid w:val="000A56E0"/>
    <w:rsid w:val="000A5D21"/>
    <w:rsid w:val="000B7FE8"/>
    <w:rsid w:val="000C0897"/>
    <w:rsid w:val="000C24CC"/>
    <w:rsid w:val="000C5234"/>
    <w:rsid w:val="000C6506"/>
    <w:rsid w:val="000D08E1"/>
    <w:rsid w:val="000D2F82"/>
    <w:rsid w:val="000D58AF"/>
    <w:rsid w:val="000E3DC3"/>
    <w:rsid w:val="000E43E5"/>
    <w:rsid w:val="000E52E5"/>
    <w:rsid w:val="000E57EB"/>
    <w:rsid w:val="000F1C2D"/>
    <w:rsid w:val="000F234E"/>
    <w:rsid w:val="0010186A"/>
    <w:rsid w:val="001035FD"/>
    <w:rsid w:val="0010451A"/>
    <w:rsid w:val="00104CA8"/>
    <w:rsid w:val="00105728"/>
    <w:rsid w:val="00105F23"/>
    <w:rsid w:val="00112137"/>
    <w:rsid w:val="00112525"/>
    <w:rsid w:val="001128BD"/>
    <w:rsid w:val="00112941"/>
    <w:rsid w:val="001150E5"/>
    <w:rsid w:val="00115CFF"/>
    <w:rsid w:val="001164F1"/>
    <w:rsid w:val="00121222"/>
    <w:rsid w:val="001224C7"/>
    <w:rsid w:val="00123650"/>
    <w:rsid w:val="00125116"/>
    <w:rsid w:val="001261E8"/>
    <w:rsid w:val="00126459"/>
    <w:rsid w:val="001370B6"/>
    <w:rsid w:val="001415B7"/>
    <w:rsid w:val="0014193C"/>
    <w:rsid w:val="00144811"/>
    <w:rsid w:val="00147C69"/>
    <w:rsid w:val="001509F0"/>
    <w:rsid w:val="001514D4"/>
    <w:rsid w:val="001527ED"/>
    <w:rsid w:val="0015403F"/>
    <w:rsid w:val="00156438"/>
    <w:rsid w:val="00157519"/>
    <w:rsid w:val="00157C4F"/>
    <w:rsid w:val="00157CEA"/>
    <w:rsid w:val="0016101D"/>
    <w:rsid w:val="00163186"/>
    <w:rsid w:val="001639E6"/>
    <w:rsid w:val="00164685"/>
    <w:rsid w:val="0016666E"/>
    <w:rsid w:val="00166FA3"/>
    <w:rsid w:val="00167A8C"/>
    <w:rsid w:val="00171311"/>
    <w:rsid w:val="00171A67"/>
    <w:rsid w:val="00171B63"/>
    <w:rsid w:val="00172AF9"/>
    <w:rsid w:val="00173774"/>
    <w:rsid w:val="00173A39"/>
    <w:rsid w:val="001740D5"/>
    <w:rsid w:val="00175F83"/>
    <w:rsid w:val="001778E2"/>
    <w:rsid w:val="001779F6"/>
    <w:rsid w:val="001803D4"/>
    <w:rsid w:val="00184400"/>
    <w:rsid w:val="001844E6"/>
    <w:rsid w:val="00186F49"/>
    <w:rsid w:val="0018791B"/>
    <w:rsid w:val="00187E93"/>
    <w:rsid w:val="00190293"/>
    <w:rsid w:val="001902D9"/>
    <w:rsid w:val="001916B8"/>
    <w:rsid w:val="00191819"/>
    <w:rsid w:val="00191B23"/>
    <w:rsid w:val="00192528"/>
    <w:rsid w:val="0019307A"/>
    <w:rsid w:val="001937E0"/>
    <w:rsid w:val="00194ECF"/>
    <w:rsid w:val="001A132B"/>
    <w:rsid w:val="001A29A5"/>
    <w:rsid w:val="001A3B49"/>
    <w:rsid w:val="001A3DEC"/>
    <w:rsid w:val="001A62AD"/>
    <w:rsid w:val="001A70D7"/>
    <w:rsid w:val="001B0F9A"/>
    <w:rsid w:val="001B6248"/>
    <w:rsid w:val="001B638D"/>
    <w:rsid w:val="001B7E3A"/>
    <w:rsid w:val="001C01A0"/>
    <w:rsid w:val="001C22A0"/>
    <w:rsid w:val="001C2464"/>
    <w:rsid w:val="001C394B"/>
    <w:rsid w:val="001C4F8F"/>
    <w:rsid w:val="001D36E0"/>
    <w:rsid w:val="001D4CB4"/>
    <w:rsid w:val="001D4D36"/>
    <w:rsid w:val="001D4F5D"/>
    <w:rsid w:val="001D5464"/>
    <w:rsid w:val="001D6679"/>
    <w:rsid w:val="001D67FC"/>
    <w:rsid w:val="001D70B0"/>
    <w:rsid w:val="001E2CB0"/>
    <w:rsid w:val="001E2F4A"/>
    <w:rsid w:val="001E4BC1"/>
    <w:rsid w:val="001E4F75"/>
    <w:rsid w:val="001E56EA"/>
    <w:rsid w:val="001E5A79"/>
    <w:rsid w:val="001F1844"/>
    <w:rsid w:val="001F2A3A"/>
    <w:rsid w:val="001F31C8"/>
    <w:rsid w:val="001F3F41"/>
    <w:rsid w:val="001F7182"/>
    <w:rsid w:val="00201DFD"/>
    <w:rsid w:val="00201F2D"/>
    <w:rsid w:val="002030EA"/>
    <w:rsid w:val="002034AC"/>
    <w:rsid w:val="00206BE3"/>
    <w:rsid w:val="00206D15"/>
    <w:rsid w:val="00207E9D"/>
    <w:rsid w:val="00210A50"/>
    <w:rsid w:val="002123FB"/>
    <w:rsid w:val="002124D0"/>
    <w:rsid w:val="00212562"/>
    <w:rsid w:val="00213B65"/>
    <w:rsid w:val="00214D6D"/>
    <w:rsid w:val="002157F1"/>
    <w:rsid w:val="00215D70"/>
    <w:rsid w:val="00216610"/>
    <w:rsid w:val="00220FC5"/>
    <w:rsid w:val="002240C4"/>
    <w:rsid w:val="00227E2F"/>
    <w:rsid w:val="002353F9"/>
    <w:rsid w:val="00237864"/>
    <w:rsid w:val="00237A75"/>
    <w:rsid w:val="00242A80"/>
    <w:rsid w:val="00244078"/>
    <w:rsid w:val="0024524E"/>
    <w:rsid w:val="002461CB"/>
    <w:rsid w:val="00246EB3"/>
    <w:rsid w:val="00247DD9"/>
    <w:rsid w:val="00250917"/>
    <w:rsid w:val="00250974"/>
    <w:rsid w:val="00251C80"/>
    <w:rsid w:val="00253863"/>
    <w:rsid w:val="002551CE"/>
    <w:rsid w:val="00255418"/>
    <w:rsid w:val="002627DD"/>
    <w:rsid w:val="002633DA"/>
    <w:rsid w:val="00264858"/>
    <w:rsid w:val="00270E91"/>
    <w:rsid w:val="00270EC2"/>
    <w:rsid w:val="00272531"/>
    <w:rsid w:val="00274105"/>
    <w:rsid w:val="00275762"/>
    <w:rsid w:val="00277457"/>
    <w:rsid w:val="002776DE"/>
    <w:rsid w:val="00277BD6"/>
    <w:rsid w:val="002812E3"/>
    <w:rsid w:val="002843A4"/>
    <w:rsid w:val="0028624E"/>
    <w:rsid w:val="002862EE"/>
    <w:rsid w:val="00290BD7"/>
    <w:rsid w:val="00291416"/>
    <w:rsid w:val="00293113"/>
    <w:rsid w:val="00295EBB"/>
    <w:rsid w:val="0029712A"/>
    <w:rsid w:val="00297EDA"/>
    <w:rsid w:val="002A011D"/>
    <w:rsid w:val="002A0164"/>
    <w:rsid w:val="002A093B"/>
    <w:rsid w:val="002A1100"/>
    <w:rsid w:val="002A3951"/>
    <w:rsid w:val="002A45C8"/>
    <w:rsid w:val="002A6DF3"/>
    <w:rsid w:val="002A76C7"/>
    <w:rsid w:val="002B1114"/>
    <w:rsid w:val="002B3132"/>
    <w:rsid w:val="002B451E"/>
    <w:rsid w:val="002B4D84"/>
    <w:rsid w:val="002C1347"/>
    <w:rsid w:val="002C24C0"/>
    <w:rsid w:val="002C441A"/>
    <w:rsid w:val="002C4F50"/>
    <w:rsid w:val="002C688E"/>
    <w:rsid w:val="002C6E03"/>
    <w:rsid w:val="002D06E9"/>
    <w:rsid w:val="002D1373"/>
    <w:rsid w:val="002D16F4"/>
    <w:rsid w:val="002D3138"/>
    <w:rsid w:val="002D710E"/>
    <w:rsid w:val="002D7BB2"/>
    <w:rsid w:val="002E3053"/>
    <w:rsid w:val="002E5D3A"/>
    <w:rsid w:val="002E69C6"/>
    <w:rsid w:val="002E6D02"/>
    <w:rsid w:val="002E7109"/>
    <w:rsid w:val="002E722A"/>
    <w:rsid w:val="002E784C"/>
    <w:rsid w:val="002F069E"/>
    <w:rsid w:val="002F2BFB"/>
    <w:rsid w:val="002F4101"/>
    <w:rsid w:val="002F4894"/>
    <w:rsid w:val="002F4F7A"/>
    <w:rsid w:val="002F5B66"/>
    <w:rsid w:val="002F6792"/>
    <w:rsid w:val="002F6A93"/>
    <w:rsid w:val="003013A2"/>
    <w:rsid w:val="00305C0D"/>
    <w:rsid w:val="00306E0B"/>
    <w:rsid w:val="0031152F"/>
    <w:rsid w:val="00312C83"/>
    <w:rsid w:val="0031325E"/>
    <w:rsid w:val="003138AC"/>
    <w:rsid w:val="00313D46"/>
    <w:rsid w:val="00320419"/>
    <w:rsid w:val="003213A9"/>
    <w:rsid w:val="00321BA3"/>
    <w:rsid w:val="00322800"/>
    <w:rsid w:val="003240BB"/>
    <w:rsid w:val="00326AA8"/>
    <w:rsid w:val="00331A01"/>
    <w:rsid w:val="0033359E"/>
    <w:rsid w:val="0033484A"/>
    <w:rsid w:val="003348CB"/>
    <w:rsid w:val="00335B3B"/>
    <w:rsid w:val="00335F90"/>
    <w:rsid w:val="003365EC"/>
    <w:rsid w:val="00336E52"/>
    <w:rsid w:val="00340B1B"/>
    <w:rsid w:val="0035032D"/>
    <w:rsid w:val="00351096"/>
    <w:rsid w:val="00351173"/>
    <w:rsid w:val="0035233A"/>
    <w:rsid w:val="00356D67"/>
    <w:rsid w:val="00357458"/>
    <w:rsid w:val="00360870"/>
    <w:rsid w:val="003608C3"/>
    <w:rsid w:val="00360BCB"/>
    <w:rsid w:val="00362E33"/>
    <w:rsid w:val="003635EB"/>
    <w:rsid w:val="00363677"/>
    <w:rsid w:val="00370487"/>
    <w:rsid w:val="00370FCB"/>
    <w:rsid w:val="00371170"/>
    <w:rsid w:val="0037150D"/>
    <w:rsid w:val="00371ACF"/>
    <w:rsid w:val="00372632"/>
    <w:rsid w:val="00372A16"/>
    <w:rsid w:val="00380DD2"/>
    <w:rsid w:val="00381050"/>
    <w:rsid w:val="003838F1"/>
    <w:rsid w:val="00384D47"/>
    <w:rsid w:val="0038528B"/>
    <w:rsid w:val="003854B2"/>
    <w:rsid w:val="00386069"/>
    <w:rsid w:val="0038625D"/>
    <w:rsid w:val="00393CE7"/>
    <w:rsid w:val="0039431D"/>
    <w:rsid w:val="0039760B"/>
    <w:rsid w:val="003978C0"/>
    <w:rsid w:val="0039797D"/>
    <w:rsid w:val="003A061A"/>
    <w:rsid w:val="003A30F1"/>
    <w:rsid w:val="003A4252"/>
    <w:rsid w:val="003A6B26"/>
    <w:rsid w:val="003A6B8C"/>
    <w:rsid w:val="003A77B3"/>
    <w:rsid w:val="003B5465"/>
    <w:rsid w:val="003B5484"/>
    <w:rsid w:val="003B60B9"/>
    <w:rsid w:val="003B68E4"/>
    <w:rsid w:val="003C06DC"/>
    <w:rsid w:val="003C137E"/>
    <w:rsid w:val="003C4FFE"/>
    <w:rsid w:val="003C54B3"/>
    <w:rsid w:val="003C5D1C"/>
    <w:rsid w:val="003C7A02"/>
    <w:rsid w:val="003C7DB7"/>
    <w:rsid w:val="003D067E"/>
    <w:rsid w:val="003D1D8E"/>
    <w:rsid w:val="003D20AE"/>
    <w:rsid w:val="003D213E"/>
    <w:rsid w:val="003D2848"/>
    <w:rsid w:val="003D354B"/>
    <w:rsid w:val="003D3E78"/>
    <w:rsid w:val="003D4252"/>
    <w:rsid w:val="003D565A"/>
    <w:rsid w:val="003D56FF"/>
    <w:rsid w:val="003D71A9"/>
    <w:rsid w:val="003D7BE3"/>
    <w:rsid w:val="003E161A"/>
    <w:rsid w:val="003E352E"/>
    <w:rsid w:val="003E4AFE"/>
    <w:rsid w:val="003E5056"/>
    <w:rsid w:val="003E67B9"/>
    <w:rsid w:val="003E6954"/>
    <w:rsid w:val="003E6C6B"/>
    <w:rsid w:val="003F32FB"/>
    <w:rsid w:val="003F5128"/>
    <w:rsid w:val="003F516E"/>
    <w:rsid w:val="003F54BA"/>
    <w:rsid w:val="003F716C"/>
    <w:rsid w:val="003F756D"/>
    <w:rsid w:val="004020B7"/>
    <w:rsid w:val="00403293"/>
    <w:rsid w:val="0040354A"/>
    <w:rsid w:val="00403C49"/>
    <w:rsid w:val="00403E88"/>
    <w:rsid w:val="004043C2"/>
    <w:rsid w:val="00405F52"/>
    <w:rsid w:val="00406E16"/>
    <w:rsid w:val="00411C36"/>
    <w:rsid w:val="004122DE"/>
    <w:rsid w:val="004130F9"/>
    <w:rsid w:val="004136ED"/>
    <w:rsid w:val="004140BA"/>
    <w:rsid w:val="004146E3"/>
    <w:rsid w:val="00416DF8"/>
    <w:rsid w:val="00417419"/>
    <w:rsid w:val="00424F4B"/>
    <w:rsid w:val="00425D16"/>
    <w:rsid w:val="0042718B"/>
    <w:rsid w:val="0043033C"/>
    <w:rsid w:val="00431B47"/>
    <w:rsid w:val="00436918"/>
    <w:rsid w:val="00436E73"/>
    <w:rsid w:val="00437795"/>
    <w:rsid w:val="00441347"/>
    <w:rsid w:val="00443F24"/>
    <w:rsid w:val="0044456D"/>
    <w:rsid w:val="0044645B"/>
    <w:rsid w:val="004464E6"/>
    <w:rsid w:val="00447290"/>
    <w:rsid w:val="0045074B"/>
    <w:rsid w:val="00450D3C"/>
    <w:rsid w:val="004513E1"/>
    <w:rsid w:val="00452028"/>
    <w:rsid w:val="00452EFF"/>
    <w:rsid w:val="004532C8"/>
    <w:rsid w:val="00453735"/>
    <w:rsid w:val="00453D68"/>
    <w:rsid w:val="00454A5F"/>
    <w:rsid w:val="00454DB9"/>
    <w:rsid w:val="004559C5"/>
    <w:rsid w:val="00456789"/>
    <w:rsid w:val="004569A3"/>
    <w:rsid w:val="00460B3A"/>
    <w:rsid w:val="00460F51"/>
    <w:rsid w:val="00462975"/>
    <w:rsid w:val="0046482F"/>
    <w:rsid w:val="00464E19"/>
    <w:rsid w:val="00466189"/>
    <w:rsid w:val="00466BC2"/>
    <w:rsid w:val="00470203"/>
    <w:rsid w:val="00470BD6"/>
    <w:rsid w:val="00472D63"/>
    <w:rsid w:val="00476EB1"/>
    <w:rsid w:val="0048008F"/>
    <w:rsid w:val="00480F5A"/>
    <w:rsid w:val="004816F6"/>
    <w:rsid w:val="00481CB4"/>
    <w:rsid w:val="0048280A"/>
    <w:rsid w:val="00483FDC"/>
    <w:rsid w:val="00490FFD"/>
    <w:rsid w:val="0049239B"/>
    <w:rsid w:val="00493254"/>
    <w:rsid w:val="004954C7"/>
    <w:rsid w:val="004957DF"/>
    <w:rsid w:val="0049589B"/>
    <w:rsid w:val="004971DF"/>
    <w:rsid w:val="004974E6"/>
    <w:rsid w:val="00497665"/>
    <w:rsid w:val="004A095F"/>
    <w:rsid w:val="004A2B56"/>
    <w:rsid w:val="004B08AD"/>
    <w:rsid w:val="004B355A"/>
    <w:rsid w:val="004B3616"/>
    <w:rsid w:val="004B49D9"/>
    <w:rsid w:val="004B517B"/>
    <w:rsid w:val="004B6AF7"/>
    <w:rsid w:val="004B6E07"/>
    <w:rsid w:val="004C17B5"/>
    <w:rsid w:val="004C3B01"/>
    <w:rsid w:val="004C40A2"/>
    <w:rsid w:val="004C46FA"/>
    <w:rsid w:val="004C5A0E"/>
    <w:rsid w:val="004C6CCD"/>
    <w:rsid w:val="004D0479"/>
    <w:rsid w:val="004D0BA3"/>
    <w:rsid w:val="004D1A49"/>
    <w:rsid w:val="004D1EF3"/>
    <w:rsid w:val="004D2F73"/>
    <w:rsid w:val="004D4DCA"/>
    <w:rsid w:val="004D60DB"/>
    <w:rsid w:val="004E040F"/>
    <w:rsid w:val="004E16A4"/>
    <w:rsid w:val="004E1A85"/>
    <w:rsid w:val="004E42A6"/>
    <w:rsid w:val="004E4E4E"/>
    <w:rsid w:val="004F2C50"/>
    <w:rsid w:val="004F3342"/>
    <w:rsid w:val="004F4EA8"/>
    <w:rsid w:val="004F500E"/>
    <w:rsid w:val="00500FAF"/>
    <w:rsid w:val="00504351"/>
    <w:rsid w:val="00505346"/>
    <w:rsid w:val="00505730"/>
    <w:rsid w:val="00506AD0"/>
    <w:rsid w:val="00506D2A"/>
    <w:rsid w:val="00507569"/>
    <w:rsid w:val="00507DA2"/>
    <w:rsid w:val="005120B3"/>
    <w:rsid w:val="005157A9"/>
    <w:rsid w:val="00515F08"/>
    <w:rsid w:val="00517F9A"/>
    <w:rsid w:val="0052059A"/>
    <w:rsid w:val="00520912"/>
    <w:rsid w:val="005233D4"/>
    <w:rsid w:val="00523AC5"/>
    <w:rsid w:val="00523D9C"/>
    <w:rsid w:val="005242F3"/>
    <w:rsid w:val="00524531"/>
    <w:rsid w:val="005247FE"/>
    <w:rsid w:val="005269B3"/>
    <w:rsid w:val="00530C08"/>
    <w:rsid w:val="00531067"/>
    <w:rsid w:val="0053124B"/>
    <w:rsid w:val="00531256"/>
    <w:rsid w:val="00531957"/>
    <w:rsid w:val="00532AFC"/>
    <w:rsid w:val="005343A0"/>
    <w:rsid w:val="0053440B"/>
    <w:rsid w:val="005358AB"/>
    <w:rsid w:val="00536AE4"/>
    <w:rsid w:val="00537A97"/>
    <w:rsid w:val="00537EF1"/>
    <w:rsid w:val="00540944"/>
    <w:rsid w:val="00542F6E"/>
    <w:rsid w:val="00543981"/>
    <w:rsid w:val="00547876"/>
    <w:rsid w:val="00551539"/>
    <w:rsid w:val="00551578"/>
    <w:rsid w:val="005532B4"/>
    <w:rsid w:val="00553A28"/>
    <w:rsid w:val="00555763"/>
    <w:rsid w:val="00555B18"/>
    <w:rsid w:val="00557178"/>
    <w:rsid w:val="00557791"/>
    <w:rsid w:val="00557950"/>
    <w:rsid w:val="0056048C"/>
    <w:rsid w:val="00561149"/>
    <w:rsid w:val="00562E4A"/>
    <w:rsid w:val="00563BA4"/>
    <w:rsid w:val="00564598"/>
    <w:rsid w:val="00564BA0"/>
    <w:rsid w:val="00566803"/>
    <w:rsid w:val="00566834"/>
    <w:rsid w:val="005670DB"/>
    <w:rsid w:val="00570DFB"/>
    <w:rsid w:val="00570FDC"/>
    <w:rsid w:val="0057560D"/>
    <w:rsid w:val="00575DDF"/>
    <w:rsid w:val="00576E85"/>
    <w:rsid w:val="00577918"/>
    <w:rsid w:val="00582A55"/>
    <w:rsid w:val="005840C3"/>
    <w:rsid w:val="005908C5"/>
    <w:rsid w:val="005910B7"/>
    <w:rsid w:val="005912B7"/>
    <w:rsid w:val="00592548"/>
    <w:rsid w:val="005938A6"/>
    <w:rsid w:val="00596920"/>
    <w:rsid w:val="0059777B"/>
    <w:rsid w:val="005977C3"/>
    <w:rsid w:val="005A0664"/>
    <w:rsid w:val="005A36CA"/>
    <w:rsid w:val="005A6FDE"/>
    <w:rsid w:val="005A7359"/>
    <w:rsid w:val="005B0618"/>
    <w:rsid w:val="005B0A45"/>
    <w:rsid w:val="005B126F"/>
    <w:rsid w:val="005B5546"/>
    <w:rsid w:val="005B59D3"/>
    <w:rsid w:val="005B757E"/>
    <w:rsid w:val="005C1CA8"/>
    <w:rsid w:val="005C2C37"/>
    <w:rsid w:val="005C333E"/>
    <w:rsid w:val="005C6EA3"/>
    <w:rsid w:val="005C7229"/>
    <w:rsid w:val="005C7AEB"/>
    <w:rsid w:val="005C7C7A"/>
    <w:rsid w:val="005C7F9F"/>
    <w:rsid w:val="005D27CC"/>
    <w:rsid w:val="005D2ACD"/>
    <w:rsid w:val="005D3EC2"/>
    <w:rsid w:val="005D48CD"/>
    <w:rsid w:val="005D4C8A"/>
    <w:rsid w:val="005D69D3"/>
    <w:rsid w:val="005D7504"/>
    <w:rsid w:val="005E3CF4"/>
    <w:rsid w:val="005E42DE"/>
    <w:rsid w:val="005E5B2E"/>
    <w:rsid w:val="005F1165"/>
    <w:rsid w:val="005F7259"/>
    <w:rsid w:val="0060075A"/>
    <w:rsid w:val="00600E1E"/>
    <w:rsid w:val="0060177C"/>
    <w:rsid w:val="00601DE5"/>
    <w:rsid w:val="006035C3"/>
    <w:rsid w:val="00604E7D"/>
    <w:rsid w:val="00605D76"/>
    <w:rsid w:val="00605DDB"/>
    <w:rsid w:val="006075A5"/>
    <w:rsid w:val="006079F7"/>
    <w:rsid w:val="0061039A"/>
    <w:rsid w:val="00610A99"/>
    <w:rsid w:val="00610EFA"/>
    <w:rsid w:val="00612347"/>
    <w:rsid w:val="00612494"/>
    <w:rsid w:val="006132F7"/>
    <w:rsid w:val="00616BA1"/>
    <w:rsid w:val="00620C6D"/>
    <w:rsid w:val="006218FD"/>
    <w:rsid w:val="00623727"/>
    <w:rsid w:val="00623980"/>
    <w:rsid w:val="00625148"/>
    <w:rsid w:val="0062670A"/>
    <w:rsid w:val="006267DA"/>
    <w:rsid w:val="00626A8A"/>
    <w:rsid w:val="00626FC7"/>
    <w:rsid w:val="00626FD4"/>
    <w:rsid w:val="00626FED"/>
    <w:rsid w:val="006273E0"/>
    <w:rsid w:val="00627EF2"/>
    <w:rsid w:val="006301B5"/>
    <w:rsid w:val="00632D2C"/>
    <w:rsid w:val="00635A50"/>
    <w:rsid w:val="0064241B"/>
    <w:rsid w:val="0064373C"/>
    <w:rsid w:val="0064411F"/>
    <w:rsid w:val="0064457B"/>
    <w:rsid w:val="006446F1"/>
    <w:rsid w:val="0064656D"/>
    <w:rsid w:val="00647300"/>
    <w:rsid w:val="00647863"/>
    <w:rsid w:val="006510EC"/>
    <w:rsid w:val="0065114A"/>
    <w:rsid w:val="006515DF"/>
    <w:rsid w:val="00653EB9"/>
    <w:rsid w:val="006553D3"/>
    <w:rsid w:val="00655D2E"/>
    <w:rsid w:val="00657938"/>
    <w:rsid w:val="0066060D"/>
    <w:rsid w:val="00660934"/>
    <w:rsid w:val="00665342"/>
    <w:rsid w:val="006659E1"/>
    <w:rsid w:val="00666EB0"/>
    <w:rsid w:val="00667138"/>
    <w:rsid w:val="006679B4"/>
    <w:rsid w:val="0067135A"/>
    <w:rsid w:val="00672375"/>
    <w:rsid w:val="00672891"/>
    <w:rsid w:val="00673E31"/>
    <w:rsid w:val="00674160"/>
    <w:rsid w:val="006756B9"/>
    <w:rsid w:val="00676D25"/>
    <w:rsid w:val="00677C4B"/>
    <w:rsid w:val="00680A6A"/>
    <w:rsid w:val="00680AF7"/>
    <w:rsid w:val="00681A65"/>
    <w:rsid w:val="006821D6"/>
    <w:rsid w:val="006842C0"/>
    <w:rsid w:val="00685980"/>
    <w:rsid w:val="00685B09"/>
    <w:rsid w:val="0069174C"/>
    <w:rsid w:val="006922C7"/>
    <w:rsid w:val="00694308"/>
    <w:rsid w:val="006953AE"/>
    <w:rsid w:val="00695545"/>
    <w:rsid w:val="00696835"/>
    <w:rsid w:val="00697223"/>
    <w:rsid w:val="00697578"/>
    <w:rsid w:val="006A24F0"/>
    <w:rsid w:val="006A2612"/>
    <w:rsid w:val="006A6AE0"/>
    <w:rsid w:val="006A7227"/>
    <w:rsid w:val="006B07EE"/>
    <w:rsid w:val="006B20E0"/>
    <w:rsid w:val="006B24A1"/>
    <w:rsid w:val="006B3550"/>
    <w:rsid w:val="006B4B41"/>
    <w:rsid w:val="006B5326"/>
    <w:rsid w:val="006B584B"/>
    <w:rsid w:val="006B586B"/>
    <w:rsid w:val="006B5F6D"/>
    <w:rsid w:val="006C2A94"/>
    <w:rsid w:val="006C658A"/>
    <w:rsid w:val="006C7823"/>
    <w:rsid w:val="006D0AA1"/>
    <w:rsid w:val="006D0B8C"/>
    <w:rsid w:val="006D0F23"/>
    <w:rsid w:val="006D17D7"/>
    <w:rsid w:val="006D2EAA"/>
    <w:rsid w:val="006D346C"/>
    <w:rsid w:val="006D4A8C"/>
    <w:rsid w:val="006D5A26"/>
    <w:rsid w:val="006E1D3A"/>
    <w:rsid w:val="006E2728"/>
    <w:rsid w:val="006E2A28"/>
    <w:rsid w:val="006E2C9A"/>
    <w:rsid w:val="006E46F3"/>
    <w:rsid w:val="006E5411"/>
    <w:rsid w:val="006E6C80"/>
    <w:rsid w:val="006F04C7"/>
    <w:rsid w:val="006F1248"/>
    <w:rsid w:val="006F21C9"/>
    <w:rsid w:val="006F2E7C"/>
    <w:rsid w:val="006F553A"/>
    <w:rsid w:val="00702445"/>
    <w:rsid w:val="00703F93"/>
    <w:rsid w:val="00705CB2"/>
    <w:rsid w:val="00707501"/>
    <w:rsid w:val="00710DFD"/>
    <w:rsid w:val="0071322E"/>
    <w:rsid w:val="0071704D"/>
    <w:rsid w:val="00721247"/>
    <w:rsid w:val="00722340"/>
    <w:rsid w:val="00725F74"/>
    <w:rsid w:val="007308E2"/>
    <w:rsid w:val="007336FA"/>
    <w:rsid w:val="0073547E"/>
    <w:rsid w:val="007375A2"/>
    <w:rsid w:val="00741C0B"/>
    <w:rsid w:val="007422C5"/>
    <w:rsid w:val="00742B43"/>
    <w:rsid w:val="0074402D"/>
    <w:rsid w:val="00745DB9"/>
    <w:rsid w:val="0074631A"/>
    <w:rsid w:val="00746F63"/>
    <w:rsid w:val="00752F80"/>
    <w:rsid w:val="00754061"/>
    <w:rsid w:val="007544F7"/>
    <w:rsid w:val="007557F6"/>
    <w:rsid w:val="00755BB7"/>
    <w:rsid w:val="007568B0"/>
    <w:rsid w:val="00757115"/>
    <w:rsid w:val="00757D18"/>
    <w:rsid w:val="00757EF6"/>
    <w:rsid w:val="00762B60"/>
    <w:rsid w:val="00762D9E"/>
    <w:rsid w:val="00764634"/>
    <w:rsid w:val="00766B8F"/>
    <w:rsid w:val="007674FC"/>
    <w:rsid w:val="007676E2"/>
    <w:rsid w:val="0077103D"/>
    <w:rsid w:val="0077235D"/>
    <w:rsid w:val="007735AE"/>
    <w:rsid w:val="007743CA"/>
    <w:rsid w:val="00776E82"/>
    <w:rsid w:val="007773BE"/>
    <w:rsid w:val="00782886"/>
    <w:rsid w:val="007840AA"/>
    <w:rsid w:val="007840E5"/>
    <w:rsid w:val="00787D26"/>
    <w:rsid w:val="0079064B"/>
    <w:rsid w:val="00790F40"/>
    <w:rsid w:val="00793826"/>
    <w:rsid w:val="007956D3"/>
    <w:rsid w:val="007960D7"/>
    <w:rsid w:val="007965AC"/>
    <w:rsid w:val="00797000"/>
    <w:rsid w:val="007A07F7"/>
    <w:rsid w:val="007A2B08"/>
    <w:rsid w:val="007A608C"/>
    <w:rsid w:val="007A6337"/>
    <w:rsid w:val="007A71E4"/>
    <w:rsid w:val="007B137A"/>
    <w:rsid w:val="007B3AB1"/>
    <w:rsid w:val="007B520B"/>
    <w:rsid w:val="007B556A"/>
    <w:rsid w:val="007B5E66"/>
    <w:rsid w:val="007B657C"/>
    <w:rsid w:val="007B7F6C"/>
    <w:rsid w:val="007B7FCA"/>
    <w:rsid w:val="007C0405"/>
    <w:rsid w:val="007C181A"/>
    <w:rsid w:val="007C19C5"/>
    <w:rsid w:val="007C288F"/>
    <w:rsid w:val="007C444A"/>
    <w:rsid w:val="007C4D72"/>
    <w:rsid w:val="007C4E21"/>
    <w:rsid w:val="007C5C56"/>
    <w:rsid w:val="007C74AD"/>
    <w:rsid w:val="007D0153"/>
    <w:rsid w:val="007D01BC"/>
    <w:rsid w:val="007D0D53"/>
    <w:rsid w:val="007D1408"/>
    <w:rsid w:val="007D1FA7"/>
    <w:rsid w:val="007D2002"/>
    <w:rsid w:val="007D20F9"/>
    <w:rsid w:val="007D2C74"/>
    <w:rsid w:val="007D366B"/>
    <w:rsid w:val="007D4A83"/>
    <w:rsid w:val="007D5186"/>
    <w:rsid w:val="007D663A"/>
    <w:rsid w:val="007D6B12"/>
    <w:rsid w:val="007D7502"/>
    <w:rsid w:val="007D7BE7"/>
    <w:rsid w:val="007E1BDE"/>
    <w:rsid w:val="007E2177"/>
    <w:rsid w:val="007E3798"/>
    <w:rsid w:val="007E3BE9"/>
    <w:rsid w:val="007E46B2"/>
    <w:rsid w:val="007E6D2B"/>
    <w:rsid w:val="007E6DB4"/>
    <w:rsid w:val="007F1E10"/>
    <w:rsid w:val="007F2716"/>
    <w:rsid w:val="007F4458"/>
    <w:rsid w:val="007F7A5D"/>
    <w:rsid w:val="00801FA4"/>
    <w:rsid w:val="00803ED3"/>
    <w:rsid w:val="0080463D"/>
    <w:rsid w:val="0080476D"/>
    <w:rsid w:val="00805807"/>
    <w:rsid w:val="00805AF3"/>
    <w:rsid w:val="00807108"/>
    <w:rsid w:val="00807442"/>
    <w:rsid w:val="00807462"/>
    <w:rsid w:val="0081042D"/>
    <w:rsid w:val="008149F7"/>
    <w:rsid w:val="00814CAE"/>
    <w:rsid w:val="008155E0"/>
    <w:rsid w:val="00816330"/>
    <w:rsid w:val="008167B8"/>
    <w:rsid w:val="008179CD"/>
    <w:rsid w:val="00820683"/>
    <w:rsid w:val="00823567"/>
    <w:rsid w:val="00823BC1"/>
    <w:rsid w:val="00824A5A"/>
    <w:rsid w:val="008260D2"/>
    <w:rsid w:val="00831155"/>
    <w:rsid w:val="00831950"/>
    <w:rsid w:val="00831985"/>
    <w:rsid w:val="00831B62"/>
    <w:rsid w:val="008322A5"/>
    <w:rsid w:val="008339B5"/>
    <w:rsid w:val="00834AFD"/>
    <w:rsid w:val="00834E45"/>
    <w:rsid w:val="00835280"/>
    <w:rsid w:val="008364A5"/>
    <w:rsid w:val="00841069"/>
    <w:rsid w:val="00841563"/>
    <w:rsid w:val="00842964"/>
    <w:rsid w:val="00842A76"/>
    <w:rsid w:val="00842F3B"/>
    <w:rsid w:val="008441A0"/>
    <w:rsid w:val="0084743E"/>
    <w:rsid w:val="00847711"/>
    <w:rsid w:val="00852868"/>
    <w:rsid w:val="00855FF0"/>
    <w:rsid w:val="008606C5"/>
    <w:rsid w:val="00862482"/>
    <w:rsid w:val="00863B48"/>
    <w:rsid w:val="00863C44"/>
    <w:rsid w:val="00863E2A"/>
    <w:rsid w:val="0086490A"/>
    <w:rsid w:val="00865EA4"/>
    <w:rsid w:val="0086664F"/>
    <w:rsid w:val="00866BCF"/>
    <w:rsid w:val="00870A1F"/>
    <w:rsid w:val="00872A89"/>
    <w:rsid w:val="00873E5A"/>
    <w:rsid w:val="00874203"/>
    <w:rsid w:val="0087547D"/>
    <w:rsid w:val="008764F0"/>
    <w:rsid w:val="0087667D"/>
    <w:rsid w:val="0087678E"/>
    <w:rsid w:val="008832EC"/>
    <w:rsid w:val="00883940"/>
    <w:rsid w:val="0088566A"/>
    <w:rsid w:val="00885821"/>
    <w:rsid w:val="0088748A"/>
    <w:rsid w:val="00891CB9"/>
    <w:rsid w:val="00893005"/>
    <w:rsid w:val="00894C61"/>
    <w:rsid w:val="00894CE3"/>
    <w:rsid w:val="00895941"/>
    <w:rsid w:val="00895B4D"/>
    <w:rsid w:val="008962C1"/>
    <w:rsid w:val="008A07E9"/>
    <w:rsid w:val="008A0951"/>
    <w:rsid w:val="008A418A"/>
    <w:rsid w:val="008B034D"/>
    <w:rsid w:val="008B2231"/>
    <w:rsid w:val="008B27DD"/>
    <w:rsid w:val="008B5762"/>
    <w:rsid w:val="008B5D02"/>
    <w:rsid w:val="008B7C17"/>
    <w:rsid w:val="008C46C3"/>
    <w:rsid w:val="008C7F72"/>
    <w:rsid w:val="008D0363"/>
    <w:rsid w:val="008D0B1B"/>
    <w:rsid w:val="008D0B56"/>
    <w:rsid w:val="008D2546"/>
    <w:rsid w:val="008D3867"/>
    <w:rsid w:val="008D3B53"/>
    <w:rsid w:val="008D4756"/>
    <w:rsid w:val="008D5D76"/>
    <w:rsid w:val="008D78A3"/>
    <w:rsid w:val="008D7A88"/>
    <w:rsid w:val="008E2712"/>
    <w:rsid w:val="008E41F7"/>
    <w:rsid w:val="008E4F00"/>
    <w:rsid w:val="008E50A0"/>
    <w:rsid w:val="008E7EB3"/>
    <w:rsid w:val="008F3540"/>
    <w:rsid w:val="008F4021"/>
    <w:rsid w:val="008F4A2A"/>
    <w:rsid w:val="008F66FA"/>
    <w:rsid w:val="0090105E"/>
    <w:rsid w:val="00902A82"/>
    <w:rsid w:val="00905B5E"/>
    <w:rsid w:val="009064C2"/>
    <w:rsid w:val="0090690D"/>
    <w:rsid w:val="00907FE2"/>
    <w:rsid w:val="00911BE9"/>
    <w:rsid w:val="00912420"/>
    <w:rsid w:val="00917162"/>
    <w:rsid w:val="00920B2A"/>
    <w:rsid w:val="009211E0"/>
    <w:rsid w:val="00921805"/>
    <w:rsid w:val="0092288E"/>
    <w:rsid w:val="00923433"/>
    <w:rsid w:val="009266EA"/>
    <w:rsid w:val="00926E11"/>
    <w:rsid w:val="009277AE"/>
    <w:rsid w:val="00927AF0"/>
    <w:rsid w:val="00927BCB"/>
    <w:rsid w:val="00934C5C"/>
    <w:rsid w:val="0093584B"/>
    <w:rsid w:val="00936061"/>
    <w:rsid w:val="009362A6"/>
    <w:rsid w:val="00937530"/>
    <w:rsid w:val="00940CC1"/>
    <w:rsid w:val="00941E04"/>
    <w:rsid w:val="0094279E"/>
    <w:rsid w:val="00946762"/>
    <w:rsid w:val="00947F2C"/>
    <w:rsid w:val="00953D40"/>
    <w:rsid w:val="00956652"/>
    <w:rsid w:val="009568A7"/>
    <w:rsid w:val="00957DB6"/>
    <w:rsid w:val="00957E7D"/>
    <w:rsid w:val="00960335"/>
    <w:rsid w:val="00961126"/>
    <w:rsid w:val="00964C38"/>
    <w:rsid w:val="009656EF"/>
    <w:rsid w:val="00965F05"/>
    <w:rsid w:val="00966229"/>
    <w:rsid w:val="00967C68"/>
    <w:rsid w:val="009710F4"/>
    <w:rsid w:val="00972FD8"/>
    <w:rsid w:val="009737B5"/>
    <w:rsid w:val="00973F9F"/>
    <w:rsid w:val="0097400B"/>
    <w:rsid w:val="00974FEA"/>
    <w:rsid w:val="0097531C"/>
    <w:rsid w:val="00975778"/>
    <w:rsid w:val="0097760E"/>
    <w:rsid w:val="00983636"/>
    <w:rsid w:val="009841B3"/>
    <w:rsid w:val="00984C85"/>
    <w:rsid w:val="00985DC6"/>
    <w:rsid w:val="00992A86"/>
    <w:rsid w:val="00996D30"/>
    <w:rsid w:val="00997AF1"/>
    <w:rsid w:val="00997C7E"/>
    <w:rsid w:val="009A2094"/>
    <w:rsid w:val="009A295E"/>
    <w:rsid w:val="009A35BF"/>
    <w:rsid w:val="009A36FB"/>
    <w:rsid w:val="009A41C3"/>
    <w:rsid w:val="009A431F"/>
    <w:rsid w:val="009A4CD4"/>
    <w:rsid w:val="009A66FA"/>
    <w:rsid w:val="009A7AAD"/>
    <w:rsid w:val="009B0792"/>
    <w:rsid w:val="009B3642"/>
    <w:rsid w:val="009B3C5F"/>
    <w:rsid w:val="009B56D9"/>
    <w:rsid w:val="009B5FCE"/>
    <w:rsid w:val="009C27A0"/>
    <w:rsid w:val="009C2F97"/>
    <w:rsid w:val="009C3C1B"/>
    <w:rsid w:val="009C4F22"/>
    <w:rsid w:val="009C53B8"/>
    <w:rsid w:val="009C566B"/>
    <w:rsid w:val="009C6A32"/>
    <w:rsid w:val="009D0926"/>
    <w:rsid w:val="009D1AAC"/>
    <w:rsid w:val="009D1E17"/>
    <w:rsid w:val="009D25E1"/>
    <w:rsid w:val="009D37CD"/>
    <w:rsid w:val="009D3ED1"/>
    <w:rsid w:val="009D56CA"/>
    <w:rsid w:val="009D7FC5"/>
    <w:rsid w:val="009E05B8"/>
    <w:rsid w:val="009E0C1F"/>
    <w:rsid w:val="009E1B43"/>
    <w:rsid w:val="009E1EF0"/>
    <w:rsid w:val="009E3572"/>
    <w:rsid w:val="009E4056"/>
    <w:rsid w:val="009E7F90"/>
    <w:rsid w:val="009F0879"/>
    <w:rsid w:val="009F0C51"/>
    <w:rsid w:val="009F142E"/>
    <w:rsid w:val="009F3323"/>
    <w:rsid w:val="009F42D8"/>
    <w:rsid w:val="00A00EA7"/>
    <w:rsid w:val="00A024C1"/>
    <w:rsid w:val="00A026DC"/>
    <w:rsid w:val="00A04345"/>
    <w:rsid w:val="00A06CC1"/>
    <w:rsid w:val="00A074E2"/>
    <w:rsid w:val="00A12B55"/>
    <w:rsid w:val="00A12EF6"/>
    <w:rsid w:val="00A14CE5"/>
    <w:rsid w:val="00A2104C"/>
    <w:rsid w:val="00A21D73"/>
    <w:rsid w:val="00A25F8E"/>
    <w:rsid w:val="00A34917"/>
    <w:rsid w:val="00A3496F"/>
    <w:rsid w:val="00A35380"/>
    <w:rsid w:val="00A36EE3"/>
    <w:rsid w:val="00A40ACC"/>
    <w:rsid w:val="00A455FA"/>
    <w:rsid w:val="00A47AD3"/>
    <w:rsid w:val="00A512DB"/>
    <w:rsid w:val="00A51E95"/>
    <w:rsid w:val="00A52F92"/>
    <w:rsid w:val="00A53312"/>
    <w:rsid w:val="00A62AC6"/>
    <w:rsid w:val="00A65574"/>
    <w:rsid w:val="00A719AF"/>
    <w:rsid w:val="00A73B2C"/>
    <w:rsid w:val="00A73E29"/>
    <w:rsid w:val="00A75486"/>
    <w:rsid w:val="00A80B62"/>
    <w:rsid w:val="00A81DF4"/>
    <w:rsid w:val="00A83148"/>
    <w:rsid w:val="00A8361F"/>
    <w:rsid w:val="00A90687"/>
    <w:rsid w:val="00A9145F"/>
    <w:rsid w:val="00A9617C"/>
    <w:rsid w:val="00A97707"/>
    <w:rsid w:val="00A9774F"/>
    <w:rsid w:val="00A97B94"/>
    <w:rsid w:val="00AA0350"/>
    <w:rsid w:val="00AA46E3"/>
    <w:rsid w:val="00AA4BEA"/>
    <w:rsid w:val="00AA59C2"/>
    <w:rsid w:val="00AA5ED5"/>
    <w:rsid w:val="00AA7433"/>
    <w:rsid w:val="00AA75CC"/>
    <w:rsid w:val="00AB030C"/>
    <w:rsid w:val="00AB0683"/>
    <w:rsid w:val="00AB1DBE"/>
    <w:rsid w:val="00AB1E99"/>
    <w:rsid w:val="00AB3864"/>
    <w:rsid w:val="00AB4188"/>
    <w:rsid w:val="00AB5B92"/>
    <w:rsid w:val="00AB5D39"/>
    <w:rsid w:val="00AB6383"/>
    <w:rsid w:val="00AB64FD"/>
    <w:rsid w:val="00AC051E"/>
    <w:rsid w:val="00AC2A5D"/>
    <w:rsid w:val="00AC2ADF"/>
    <w:rsid w:val="00AC55BE"/>
    <w:rsid w:val="00AC605C"/>
    <w:rsid w:val="00AC6D3D"/>
    <w:rsid w:val="00AC6DA2"/>
    <w:rsid w:val="00AC732B"/>
    <w:rsid w:val="00AC73CE"/>
    <w:rsid w:val="00AC7B90"/>
    <w:rsid w:val="00AD380B"/>
    <w:rsid w:val="00AD5DB3"/>
    <w:rsid w:val="00AD5FAA"/>
    <w:rsid w:val="00AD6063"/>
    <w:rsid w:val="00AD6153"/>
    <w:rsid w:val="00AD618D"/>
    <w:rsid w:val="00AD63C3"/>
    <w:rsid w:val="00AD668C"/>
    <w:rsid w:val="00AD67F4"/>
    <w:rsid w:val="00AD6B40"/>
    <w:rsid w:val="00AE1D35"/>
    <w:rsid w:val="00AE26B2"/>
    <w:rsid w:val="00AE351A"/>
    <w:rsid w:val="00AF0F0F"/>
    <w:rsid w:val="00AF101B"/>
    <w:rsid w:val="00AF1FE4"/>
    <w:rsid w:val="00AF2A92"/>
    <w:rsid w:val="00AF307B"/>
    <w:rsid w:val="00AF4640"/>
    <w:rsid w:val="00AF4DE3"/>
    <w:rsid w:val="00AF5D98"/>
    <w:rsid w:val="00AF6672"/>
    <w:rsid w:val="00AF7292"/>
    <w:rsid w:val="00B017AF"/>
    <w:rsid w:val="00B018FB"/>
    <w:rsid w:val="00B03678"/>
    <w:rsid w:val="00B052A6"/>
    <w:rsid w:val="00B057AE"/>
    <w:rsid w:val="00B06397"/>
    <w:rsid w:val="00B075E7"/>
    <w:rsid w:val="00B1133C"/>
    <w:rsid w:val="00B117E2"/>
    <w:rsid w:val="00B1325F"/>
    <w:rsid w:val="00B13C80"/>
    <w:rsid w:val="00B13CA0"/>
    <w:rsid w:val="00B162EE"/>
    <w:rsid w:val="00B16AF8"/>
    <w:rsid w:val="00B209B4"/>
    <w:rsid w:val="00B22A33"/>
    <w:rsid w:val="00B22C0E"/>
    <w:rsid w:val="00B22E91"/>
    <w:rsid w:val="00B23628"/>
    <w:rsid w:val="00B2551B"/>
    <w:rsid w:val="00B25694"/>
    <w:rsid w:val="00B261B4"/>
    <w:rsid w:val="00B262CD"/>
    <w:rsid w:val="00B32F23"/>
    <w:rsid w:val="00B35947"/>
    <w:rsid w:val="00B36721"/>
    <w:rsid w:val="00B402F7"/>
    <w:rsid w:val="00B410E6"/>
    <w:rsid w:val="00B42512"/>
    <w:rsid w:val="00B42598"/>
    <w:rsid w:val="00B439DB"/>
    <w:rsid w:val="00B444A9"/>
    <w:rsid w:val="00B476FC"/>
    <w:rsid w:val="00B47FA9"/>
    <w:rsid w:val="00B51A68"/>
    <w:rsid w:val="00B5300B"/>
    <w:rsid w:val="00B551CE"/>
    <w:rsid w:val="00B55E27"/>
    <w:rsid w:val="00B61546"/>
    <w:rsid w:val="00B621CC"/>
    <w:rsid w:val="00B626C0"/>
    <w:rsid w:val="00B62BD9"/>
    <w:rsid w:val="00B63271"/>
    <w:rsid w:val="00B66355"/>
    <w:rsid w:val="00B71348"/>
    <w:rsid w:val="00B736CE"/>
    <w:rsid w:val="00B76EBA"/>
    <w:rsid w:val="00B772D8"/>
    <w:rsid w:val="00B8083B"/>
    <w:rsid w:val="00B813D6"/>
    <w:rsid w:val="00B817A8"/>
    <w:rsid w:val="00B83358"/>
    <w:rsid w:val="00B83D37"/>
    <w:rsid w:val="00B85467"/>
    <w:rsid w:val="00B8578E"/>
    <w:rsid w:val="00B86E94"/>
    <w:rsid w:val="00B870C4"/>
    <w:rsid w:val="00B8780D"/>
    <w:rsid w:val="00B87E20"/>
    <w:rsid w:val="00B90D4E"/>
    <w:rsid w:val="00B9161E"/>
    <w:rsid w:val="00B943E0"/>
    <w:rsid w:val="00B94B63"/>
    <w:rsid w:val="00B9523F"/>
    <w:rsid w:val="00B95542"/>
    <w:rsid w:val="00B956E8"/>
    <w:rsid w:val="00B97318"/>
    <w:rsid w:val="00BA163E"/>
    <w:rsid w:val="00BA3FB0"/>
    <w:rsid w:val="00BA7A20"/>
    <w:rsid w:val="00BB1CEB"/>
    <w:rsid w:val="00BB64C3"/>
    <w:rsid w:val="00BB70BF"/>
    <w:rsid w:val="00BB788D"/>
    <w:rsid w:val="00BC0C22"/>
    <w:rsid w:val="00BC1644"/>
    <w:rsid w:val="00BC25E9"/>
    <w:rsid w:val="00BC2AE6"/>
    <w:rsid w:val="00BC3405"/>
    <w:rsid w:val="00BC64C5"/>
    <w:rsid w:val="00BC7373"/>
    <w:rsid w:val="00BC7D26"/>
    <w:rsid w:val="00BD093C"/>
    <w:rsid w:val="00BD1134"/>
    <w:rsid w:val="00BD1DD7"/>
    <w:rsid w:val="00BD2064"/>
    <w:rsid w:val="00BD21BF"/>
    <w:rsid w:val="00BD4FFE"/>
    <w:rsid w:val="00BD52DD"/>
    <w:rsid w:val="00BD5ACE"/>
    <w:rsid w:val="00BE1680"/>
    <w:rsid w:val="00BE318B"/>
    <w:rsid w:val="00BE5BA6"/>
    <w:rsid w:val="00BE6D20"/>
    <w:rsid w:val="00BE705C"/>
    <w:rsid w:val="00BE7D4D"/>
    <w:rsid w:val="00BF57F0"/>
    <w:rsid w:val="00BF6356"/>
    <w:rsid w:val="00BF6D74"/>
    <w:rsid w:val="00BF7118"/>
    <w:rsid w:val="00BF7328"/>
    <w:rsid w:val="00C02926"/>
    <w:rsid w:val="00C035C3"/>
    <w:rsid w:val="00C03859"/>
    <w:rsid w:val="00C03D43"/>
    <w:rsid w:val="00C04383"/>
    <w:rsid w:val="00C07710"/>
    <w:rsid w:val="00C07725"/>
    <w:rsid w:val="00C07C27"/>
    <w:rsid w:val="00C07F6D"/>
    <w:rsid w:val="00C10859"/>
    <w:rsid w:val="00C10D1F"/>
    <w:rsid w:val="00C11DB4"/>
    <w:rsid w:val="00C14743"/>
    <w:rsid w:val="00C156E6"/>
    <w:rsid w:val="00C179C3"/>
    <w:rsid w:val="00C17FD4"/>
    <w:rsid w:val="00C2053B"/>
    <w:rsid w:val="00C219E9"/>
    <w:rsid w:val="00C21D6D"/>
    <w:rsid w:val="00C22DBA"/>
    <w:rsid w:val="00C2318A"/>
    <w:rsid w:val="00C23379"/>
    <w:rsid w:val="00C23BB2"/>
    <w:rsid w:val="00C24C3E"/>
    <w:rsid w:val="00C24CA6"/>
    <w:rsid w:val="00C3230A"/>
    <w:rsid w:val="00C34705"/>
    <w:rsid w:val="00C37A54"/>
    <w:rsid w:val="00C41A37"/>
    <w:rsid w:val="00C42613"/>
    <w:rsid w:val="00C43173"/>
    <w:rsid w:val="00C44636"/>
    <w:rsid w:val="00C451EF"/>
    <w:rsid w:val="00C45FD2"/>
    <w:rsid w:val="00C47653"/>
    <w:rsid w:val="00C5029A"/>
    <w:rsid w:val="00C506C7"/>
    <w:rsid w:val="00C51312"/>
    <w:rsid w:val="00C55498"/>
    <w:rsid w:val="00C56807"/>
    <w:rsid w:val="00C56BC4"/>
    <w:rsid w:val="00C56F08"/>
    <w:rsid w:val="00C571A1"/>
    <w:rsid w:val="00C57420"/>
    <w:rsid w:val="00C57749"/>
    <w:rsid w:val="00C57A66"/>
    <w:rsid w:val="00C614D8"/>
    <w:rsid w:val="00C64967"/>
    <w:rsid w:val="00C65F16"/>
    <w:rsid w:val="00C66529"/>
    <w:rsid w:val="00C66E03"/>
    <w:rsid w:val="00C66EE3"/>
    <w:rsid w:val="00C679C5"/>
    <w:rsid w:val="00C7175F"/>
    <w:rsid w:val="00C71927"/>
    <w:rsid w:val="00C71F3A"/>
    <w:rsid w:val="00C724A8"/>
    <w:rsid w:val="00C72896"/>
    <w:rsid w:val="00C73288"/>
    <w:rsid w:val="00C7340B"/>
    <w:rsid w:val="00C74C9B"/>
    <w:rsid w:val="00C74D57"/>
    <w:rsid w:val="00C76DE9"/>
    <w:rsid w:val="00C804B8"/>
    <w:rsid w:val="00C80621"/>
    <w:rsid w:val="00C81876"/>
    <w:rsid w:val="00C82601"/>
    <w:rsid w:val="00C83112"/>
    <w:rsid w:val="00C84C64"/>
    <w:rsid w:val="00C84ECC"/>
    <w:rsid w:val="00C91DEB"/>
    <w:rsid w:val="00C92A2F"/>
    <w:rsid w:val="00C92E6C"/>
    <w:rsid w:val="00C9320C"/>
    <w:rsid w:val="00C93A28"/>
    <w:rsid w:val="00C94584"/>
    <w:rsid w:val="00C9670A"/>
    <w:rsid w:val="00C97347"/>
    <w:rsid w:val="00C97825"/>
    <w:rsid w:val="00CA0345"/>
    <w:rsid w:val="00CA195B"/>
    <w:rsid w:val="00CA3EE1"/>
    <w:rsid w:val="00CA53A4"/>
    <w:rsid w:val="00CA5E36"/>
    <w:rsid w:val="00CA67BE"/>
    <w:rsid w:val="00CA737E"/>
    <w:rsid w:val="00CB08F3"/>
    <w:rsid w:val="00CB111C"/>
    <w:rsid w:val="00CB2096"/>
    <w:rsid w:val="00CB2B9E"/>
    <w:rsid w:val="00CB3526"/>
    <w:rsid w:val="00CB3FA7"/>
    <w:rsid w:val="00CB5A44"/>
    <w:rsid w:val="00CB5EE3"/>
    <w:rsid w:val="00CB65BA"/>
    <w:rsid w:val="00CB7D4D"/>
    <w:rsid w:val="00CC25CD"/>
    <w:rsid w:val="00CC43E9"/>
    <w:rsid w:val="00CC6DFF"/>
    <w:rsid w:val="00CC789F"/>
    <w:rsid w:val="00CC7B35"/>
    <w:rsid w:val="00CD1AA2"/>
    <w:rsid w:val="00CD3843"/>
    <w:rsid w:val="00CD5762"/>
    <w:rsid w:val="00CD5847"/>
    <w:rsid w:val="00CD6424"/>
    <w:rsid w:val="00CE0E7F"/>
    <w:rsid w:val="00CE0FDA"/>
    <w:rsid w:val="00CE1B60"/>
    <w:rsid w:val="00CE2216"/>
    <w:rsid w:val="00CE4C18"/>
    <w:rsid w:val="00CE4D3B"/>
    <w:rsid w:val="00CE7463"/>
    <w:rsid w:val="00CE76C6"/>
    <w:rsid w:val="00CF01E8"/>
    <w:rsid w:val="00CF2464"/>
    <w:rsid w:val="00CF71BE"/>
    <w:rsid w:val="00D01C5E"/>
    <w:rsid w:val="00D0402F"/>
    <w:rsid w:val="00D06975"/>
    <w:rsid w:val="00D06B0A"/>
    <w:rsid w:val="00D0778B"/>
    <w:rsid w:val="00D10753"/>
    <w:rsid w:val="00D115D7"/>
    <w:rsid w:val="00D16A48"/>
    <w:rsid w:val="00D1731A"/>
    <w:rsid w:val="00D2037E"/>
    <w:rsid w:val="00D20C31"/>
    <w:rsid w:val="00D2137E"/>
    <w:rsid w:val="00D22202"/>
    <w:rsid w:val="00D223DC"/>
    <w:rsid w:val="00D23688"/>
    <w:rsid w:val="00D242C4"/>
    <w:rsid w:val="00D27B2B"/>
    <w:rsid w:val="00D31C97"/>
    <w:rsid w:val="00D3209E"/>
    <w:rsid w:val="00D32462"/>
    <w:rsid w:val="00D32D09"/>
    <w:rsid w:val="00D35999"/>
    <w:rsid w:val="00D373DC"/>
    <w:rsid w:val="00D40192"/>
    <w:rsid w:val="00D40972"/>
    <w:rsid w:val="00D4124A"/>
    <w:rsid w:val="00D42218"/>
    <w:rsid w:val="00D43B39"/>
    <w:rsid w:val="00D43E36"/>
    <w:rsid w:val="00D44EB9"/>
    <w:rsid w:val="00D45B68"/>
    <w:rsid w:val="00D45C6A"/>
    <w:rsid w:val="00D463D6"/>
    <w:rsid w:val="00D5017F"/>
    <w:rsid w:val="00D502F7"/>
    <w:rsid w:val="00D507C7"/>
    <w:rsid w:val="00D50CDF"/>
    <w:rsid w:val="00D5132F"/>
    <w:rsid w:val="00D51E04"/>
    <w:rsid w:val="00D54008"/>
    <w:rsid w:val="00D5502D"/>
    <w:rsid w:val="00D56D52"/>
    <w:rsid w:val="00D570EA"/>
    <w:rsid w:val="00D60989"/>
    <w:rsid w:val="00D60F2B"/>
    <w:rsid w:val="00D62E1C"/>
    <w:rsid w:val="00D62F56"/>
    <w:rsid w:val="00D64896"/>
    <w:rsid w:val="00D6573B"/>
    <w:rsid w:val="00D66385"/>
    <w:rsid w:val="00D66702"/>
    <w:rsid w:val="00D67C91"/>
    <w:rsid w:val="00D7019D"/>
    <w:rsid w:val="00D713D8"/>
    <w:rsid w:val="00D714C0"/>
    <w:rsid w:val="00D723CC"/>
    <w:rsid w:val="00D731B1"/>
    <w:rsid w:val="00D74959"/>
    <w:rsid w:val="00D75EF9"/>
    <w:rsid w:val="00D76E5A"/>
    <w:rsid w:val="00D823BA"/>
    <w:rsid w:val="00D834E9"/>
    <w:rsid w:val="00D83589"/>
    <w:rsid w:val="00D87646"/>
    <w:rsid w:val="00D92040"/>
    <w:rsid w:val="00D934CB"/>
    <w:rsid w:val="00D9608E"/>
    <w:rsid w:val="00D97BBA"/>
    <w:rsid w:val="00DA027E"/>
    <w:rsid w:val="00DA0B81"/>
    <w:rsid w:val="00DA188D"/>
    <w:rsid w:val="00DA25DD"/>
    <w:rsid w:val="00DA39BB"/>
    <w:rsid w:val="00DA66D2"/>
    <w:rsid w:val="00DA6CC9"/>
    <w:rsid w:val="00DA7D72"/>
    <w:rsid w:val="00DB1A5A"/>
    <w:rsid w:val="00DB2BBD"/>
    <w:rsid w:val="00DB310C"/>
    <w:rsid w:val="00DB3BA8"/>
    <w:rsid w:val="00DB4BB5"/>
    <w:rsid w:val="00DB5C24"/>
    <w:rsid w:val="00DB7EEA"/>
    <w:rsid w:val="00DC08CF"/>
    <w:rsid w:val="00DC2DFC"/>
    <w:rsid w:val="00DC3A07"/>
    <w:rsid w:val="00DC5756"/>
    <w:rsid w:val="00DC64AF"/>
    <w:rsid w:val="00DD05F8"/>
    <w:rsid w:val="00DD0851"/>
    <w:rsid w:val="00DD2B0D"/>
    <w:rsid w:val="00DD560F"/>
    <w:rsid w:val="00DD5E9B"/>
    <w:rsid w:val="00DE314B"/>
    <w:rsid w:val="00DE7745"/>
    <w:rsid w:val="00DE7A29"/>
    <w:rsid w:val="00DF0D0E"/>
    <w:rsid w:val="00DF2B88"/>
    <w:rsid w:val="00DF3225"/>
    <w:rsid w:val="00DF4E97"/>
    <w:rsid w:val="00DF63D6"/>
    <w:rsid w:val="00DF6F6C"/>
    <w:rsid w:val="00DF7348"/>
    <w:rsid w:val="00DF7FFE"/>
    <w:rsid w:val="00E01AB6"/>
    <w:rsid w:val="00E02378"/>
    <w:rsid w:val="00E02F19"/>
    <w:rsid w:val="00E03375"/>
    <w:rsid w:val="00E03640"/>
    <w:rsid w:val="00E03CC5"/>
    <w:rsid w:val="00E03E4D"/>
    <w:rsid w:val="00E045DD"/>
    <w:rsid w:val="00E04A58"/>
    <w:rsid w:val="00E05242"/>
    <w:rsid w:val="00E067EF"/>
    <w:rsid w:val="00E06AD5"/>
    <w:rsid w:val="00E10336"/>
    <w:rsid w:val="00E108AA"/>
    <w:rsid w:val="00E12F9F"/>
    <w:rsid w:val="00E13F7C"/>
    <w:rsid w:val="00E1410F"/>
    <w:rsid w:val="00E14C62"/>
    <w:rsid w:val="00E16875"/>
    <w:rsid w:val="00E209DB"/>
    <w:rsid w:val="00E215D3"/>
    <w:rsid w:val="00E223DC"/>
    <w:rsid w:val="00E22F6B"/>
    <w:rsid w:val="00E23999"/>
    <w:rsid w:val="00E27442"/>
    <w:rsid w:val="00E32072"/>
    <w:rsid w:val="00E346AC"/>
    <w:rsid w:val="00E350F5"/>
    <w:rsid w:val="00E36296"/>
    <w:rsid w:val="00E37FEE"/>
    <w:rsid w:val="00E4154E"/>
    <w:rsid w:val="00E4228E"/>
    <w:rsid w:val="00E4533D"/>
    <w:rsid w:val="00E4575B"/>
    <w:rsid w:val="00E477F0"/>
    <w:rsid w:val="00E47F1D"/>
    <w:rsid w:val="00E51065"/>
    <w:rsid w:val="00E51967"/>
    <w:rsid w:val="00E51A43"/>
    <w:rsid w:val="00E52ADA"/>
    <w:rsid w:val="00E52D9B"/>
    <w:rsid w:val="00E54446"/>
    <w:rsid w:val="00E55616"/>
    <w:rsid w:val="00E55B5C"/>
    <w:rsid w:val="00E608BF"/>
    <w:rsid w:val="00E63C7D"/>
    <w:rsid w:val="00E64A4D"/>
    <w:rsid w:val="00E70D33"/>
    <w:rsid w:val="00E714B7"/>
    <w:rsid w:val="00E721FF"/>
    <w:rsid w:val="00E72A14"/>
    <w:rsid w:val="00E73A25"/>
    <w:rsid w:val="00E7630F"/>
    <w:rsid w:val="00E805BE"/>
    <w:rsid w:val="00E81433"/>
    <w:rsid w:val="00E81BE1"/>
    <w:rsid w:val="00E84FBC"/>
    <w:rsid w:val="00E85820"/>
    <w:rsid w:val="00E9137B"/>
    <w:rsid w:val="00E91559"/>
    <w:rsid w:val="00E95572"/>
    <w:rsid w:val="00E95BD1"/>
    <w:rsid w:val="00E97B17"/>
    <w:rsid w:val="00EA2537"/>
    <w:rsid w:val="00EA2AF8"/>
    <w:rsid w:val="00EA3EBC"/>
    <w:rsid w:val="00EA4C6C"/>
    <w:rsid w:val="00EA4CA4"/>
    <w:rsid w:val="00EA6108"/>
    <w:rsid w:val="00EA7A48"/>
    <w:rsid w:val="00EB009E"/>
    <w:rsid w:val="00EB0B2C"/>
    <w:rsid w:val="00EB3782"/>
    <w:rsid w:val="00EB59F0"/>
    <w:rsid w:val="00EC1199"/>
    <w:rsid w:val="00EC3FE6"/>
    <w:rsid w:val="00EC4394"/>
    <w:rsid w:val="00EC500D"/>
    <w:rsid w:val="00EC5082"/>
    <w:rsid w:val="00EC6E16"/>
    <w:rsid w:val="00ED0699"/>
    <w:rsid w:val="00ED0BCC"/>
    <w:rsid w:val="00ED28E1"/>
    <w:rsid w:val="00ED2B43"/>
    <w:rsid w:val="00ED5866"/>
    <w:rsid w:val="00ED7CEA"/>
    <w:rsid w:val="00EE2CE8"/>
    <w:rsid w:val="00EE47BB"/>
    <w:rsid w:val="00EE791E"/>
    <w:rsid w:val="00EF0A98"/>
    <w:rsid w:val="00EF1E4C"/>
    <w:rsid w:val="00EF1E8E"/>
    <w:rsid w:val="00EF4197"/>
    <w:rsid w:val="00EF4A4F"/>
    <w:rsid w:val="00F01B1C"/>
    <w:rsid w:val="00F04722"/>
    <w:rsid w:val="00F04822"/>
    <w:rsid w:val="00F04E22"/>
    <w:rsid w:val="00F06C44"/>
    <w:rsid w:val="00F06DD3"/>
    <w:rsid w:val="00F0709D"/>
    <w:rsid w:val="00F07600"/>
    <w:rsid w:val="00F07F9D"/>
    <w:rsid w:val="00F10A9A"/>
    <w:rsid w:val="00F15725"/>
    <w:rsid w:val="00F15C56"/>
    <w:rsid w:val="00F161AB"/>
    <w:rsid w:val="00F177C5"/>
    <w:rsid w:val="00F22143"/>
    <w:rsid w:val="00F22319"/>
    <w:rsid w:val="00F22B2F"/>
    <w:rsid w:val="00F237B7"/>
    <w:rsid w:val="00F23C18"/>
    <w:rsid w:val="00F24843"/>
    <w:rsid w:val="00F257C3"/>
    <w:rsid w:val="00F25D5D"/>
    <w:rsid w:val="00F2690C"/>
    <w:rsid w:val="00F26975"/>
    <w:rsid w:val="00F26A75"/>
    <w:rsid w:val="00F3064A"/>
    <w:rsid w:val="00F30998"/>
    <w:rsid w:val="00F327A8"/>
    <w:rsid w:val="00F33D93"/>
    <w:rsid w:val="00F34CB8"/>
    <w:rsid w:val="00F36561"/>
    <w:rsid w:val="00F36FA0"/>
    <w:rsid w:val="00F372A7"/>
    <w:rsid w:val="00F41B0E"/>
    <w:rsid w:val="00F4483A"/>
    <w:rsid w:val="00F46CF7"/>
    <w:rsid w:val="00F473E8"/>
    <w:rsid w:val="00F54345"/>
    <w:rsid w:val="00F559C4"/>
    <w:rsid w:val="00F55FD5"/>
    <w:rsid w:val="00F6207B"/>
    <w:rsid w:val="00F62EF0"/>
    <w:rsid w:val="00F635CB"/>
    <w:rsid w:val="00F65118"/>
    <w:rsid w:val="00F659FC"/>
    <w:rsid w:val="00F66D50"/>
    <w:rsid w:val="00F66F7B"/>
    <w:rsid w:val="00F7325C"/>
    <w:rsid w:val="00F74754"/>
    <w:rsid w:val="00F76348"/>
    <w:rsid w:val="00F765E8"/>
    <w:rsid w:val="00F80F6A"/>
    <w:rsid w:val="00F835DE"/>
    <w:rsid w:val="00F83B2E"/>
    <w:rsid w:val="00F84B2E"/>
    <w:rsid w:val="00F86EF0"/>
    <w:rsid w:val="00F90757"/>
    <w:rsid w:val="00F92F62"/>
    <w:rsid w:val="00F945CF"/>
    <w:rsid w:val="00F94F1E"/>
    <w:rsid w:val="00F95FC5"/>
    <w:rsid w:val="00F96DBB"/>
    <w:rsid w:val="00F97004"/>
    <w:rsid w:val="00F977B6"/>
    <w:rsid w:val="00FA0A33"/>
    <w:rsid w:val="00FA0F3E"/>
    <w:rsid w:val="00FA201B"/>
    <w:rsid w:val="00FA34EB"/>
    <w:rsid w:val="00FA4485"/>
    <w:rsid w:val="00FA4FAD"/>
    <w:rsid w:val="00FA7DF6"/>
    <w:rsid w:val="00FB343F"/>
    <w:rsid w:val="00FB376E"/>
    <w:rsid w:val="00FB7C2A"/>
    <w:rsid w:val="00FC1BD2"/>
    <w:rsid w:val="00FC1E47"/>
    <w:rsid w:val="00FC1FD6"/>
    <w:rsid w:val="00FC273A"/>
    <w:rsid w:val="00FC4C61"/>
    <w:rsid w:val="00FC629A"/>
    <w:rsid w:val="00FC7FC4"/>
    <w:rsid w:val="00FD2698"/>
    <w:rsid w:val="00FD2768"/>
    <w:rsid w:val="00FD4010"/>
    <w:rsid w:val="00FD4F91"/>
    <w:rsid w:val="00FD68D8"/>
    <w:rsid w:val="00FD73DA"/>
    <w:rsid w:val="00FE038A"/>
    <w:rsid w:val="00FE1B02"/>
    <w:rsid w:val="00FE1C41"/>
    <w:rsid w:val="00FE222F"/>
    <w:rsid w:val="00FE35B0"/>
    <w:rsid w:val="00FE39B9"/>
    <w:rsid w:val="00FE4662"/>
    <w:rsid w:val="00FE5979"/>
    <w:rsid w:val="00FE5A4B"/>
    <w:rsid w:val="00FE73CB"/>
    <w:rsid w:val="00FE7879"/>
    <w:rsid w:val="00FF15F1"/>
    <w:rsid w:val="00FF2624"/>
    <w:rsid w:val="00FF395C"/>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3151"/>
  <w15:chartTrackingRefBased/>
  <w15:docId w15:val="{61EDA8D7-2911-49A4-818B-8B05104F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A6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20912"/>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912"/>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912"/>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912"/>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520912"/>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520912"/>
    <w:pPr>
      <w:keepNext/>
      <w:keepLines/>
      <w:spacing w:before="40" w:line="259" w:lineRule="auto"/>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520912"/>
    <w:pPr>
      <w:keepNext/>
      <w:keepLines/>
      <w:spacing w:before="4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520912"/>
    <w:pPr>
      <w:keepNext/>
      <w:keepLines/>
      <w:spacing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520912"/>
    <w:pPr>
      <w:keepNext/>
      <w:keepLines/>
      <w:spacing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912"/>
    <w:rPr>
      <w:rFonts w:eastAsiaTheme="majorEastAsia" w:cstheme="majorBidi"/>
      <w:color w:val="272727" w:themeColor="text1" w:themeTint="D8"/>
    </w:rPr>
  </w:style>
  <w:style w:type="paragraph" w:styleId="Title">
    <w:name w:val="Title"/>
    <w:basedOn w:val="Normal"/>
    <w:next w:val="Normal"/>
    <w:link w:val="TitleChar"/>
    <w:uiPriority w:val="10"/>
    <w:qFormat/>
    <w:rsid w:val="005209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912"/>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912"/>
    <w:pPr>
      <w:spacing w:before="160" w:after="160" w:line="259" w:lineRule="auto"/>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520912"/>
    <w:rPr>
      <w:i/>
      <w:iCs/>
      <w:color w:val="404040" w:themeColor="text1" w:themeTint="BF"/>
    </w:rPr>
  </w:style>
  <w:style w:type="paragraph" w:styleId="ListParagraph">
    <w:name w:val="List Paragraph"/>
    <w:basedOn w:val="Normal"/>
    <w:uiPriority w:val="34"/>
    <w:qFormat/>
    <w:rsid w:val="00520912"/>
    <w:pPr>
      <w:spacing w:after="160" w:line="259" w:lineRule="auto"/>
      <w:ind w:left="720"/>
      <w:contextualSpacing/>
    </w:pPr>
    <w:rPr>
      <w:rFonts w:asciiTheme="minorHAnsi" w:eastAsiaTheme="minorHAnsi" w:hAnsiTheme="minorHAnsi" w:cstheme="minorBidi"/>
      <w:sz w:val="22"/>
      <w:szCs w:val="22"/>
    </w:rPr>
  </w:style>
  <w:style w:type="character" w:styleId="IntenseEmphasis">
    <w:name w:val="Intense Emphasis"/>
    <w:basedOn w:val="DefaultParagraphFont"/>
    <w:uiPriority w:val="21"/>
    <w:qFormat/>
    <w:rsid w:val="00520912"/>
    <w:rPr>
      <w:i/>
      <w:iCs/>
      <w:color w:val="0F4761" w:themeColor="accent1" w:themeShade="BF"/>
    </w:rPr>
  </w:style>
  <w:style w:type="paragraph" w:styleId="IntenseQuote">
    <w:name w:val="Intense Quote"/>
    <w:basedOn w:val="Normal"/>
    <w:next w:val="Normal"/>
    <w:link w:val="IntenseQuoteChar"/>
    <w:uiPriority w:val="30"/>
    <w:qFormat/>
    <w:rsid w:val="0052091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rPr>
  </w:style>
  <w:style w:type="character" w:customStyle="1" w:styleId="IntenseQuoteChar">
    <w:name w:val="Intense Quote Char"/>
    <w:basedOn w:val="DefaultParagraphFont"/>
    <w:link w:val="IntenseQuote"/>
    <w:uiPriority w:val="30"/>
    <w:rsid w:val="00520912"/>
    <w:rPr>
      <w:i/>
      <w:iCs/>
      <w:color w:val="0F4761" w:themeColor="accent1" w:themeShade="BF"/>
    </w:rPr>
  </w:style>
  <w:style w:type="character" w:styleId="IntenseReference">
    <w:name w:val="Intense Reference"/>
    <w:basedOn w:val="DefaultParagraphFont"/>
    <w:uiPriority w:val="32"/>
    <w:qFormat/>
    <w:rsid w:val="00520912"/>
    <w:rPr>
      <w:b/>
      <w:bCs/>
      <w:smallCaps/>
      <w:color w:val="0F4761" w:themeColor="accent1" w:themeShade="BF"/>
      <w:spacing w:val="5"/>
    </w:rPr>
  </w:style>
  <w:style w:type="table" w:styleId="TableGrid">
    <w:name w:val="Table Grid"/>
    <w:basedOn w:val="TableNormal"/>
    <w:uiPriority w:val="39"/>
    <w:rsid w:val="00FA0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24843"/>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F24843"/>
    <w:rPr>
      <w:sz w:val="20"/>
      <w:szCs w:val="20"/>
    </w:rPr>
  </w:style>
  <w:style w:type="character" w:styleId="FootnoteReference">
    <w:name w:val="footnote reference"/>
    <w:basedOn w:val="DefaultParagraphFont"/>
    <w:uiPriority w:val="99"/>
    <w:semiHidden/>
    <w:unhideWhenUsed/>
    <w:rsid w:val="00F24843"/>
    <w:rPr>
      <w:vertAlign w:val="superscript"/>
    </w:rPr>
  </w:style>
  <w:style w:type="paragraph" w:styleId="Header">
    <w:name w:val="header"/>
    <w:basedOn w:val="Normal"/>
    <w:link w:val="HeaderChar"/>
    <w:uiPriority w:val="99"/>
    <w:unhideWhenUsed/>
    <w:rsid w:val="00673E31"/>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673E31"/>
  </w:style>
  <w:style w:type="paragraph" w:styleId="Footer">
    <w:name w:val="footer"/>
    <w:basedOn w:val="Normal"/>
    <w:link w:val="FooterChar"/>
    <w:uiPriority w:val="99"/>
    <w:unhideWhenUsed/>
    <w:rsid w:val="00673E31"/>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673E31"/>
  </w:style>
  <w:style w:type="character" w:styleId="Hyperlink">
    <w:name w:val="Hyperlink"/>
    <w:basedOn w:val="DefaultParagraphFont"/>
    <w:uiPriority w:val="99"/>
    <w:unhideWhenUsed/>
    <w:rsid w:val="00362E33"/>
    <w:rPr>
      <w:color w:val="467886" w:themeColor="hyperlink"/>
      <w:u w:val="single"/>
    </w:rPr>
  </w:style>
  <w:style w:type="character" w:styleId="UnresolvedMention">
    <w:name w:val="Unresolved Mention"/>
    <w:basedOn w:val="DefaultParagraphFont"/>
    <w:uiPriority w:val="99"/>
    <w:semiHidden/>
    <w:unhideWhenUsed/>
    <w:rsid w:val="00362E33"/>
    <w:rPr>
      <w:color w:val="605E5C"/>
      <w:shd w:val="clear" w:color="auto" w:fill="E1DFDD"/>
    </w:rPr>
  </w:style>
  <w:style w:type="paragraph" w:styleId="EndnoteText">
    <w:name w:val="endnote text"/>
    <w:basedOn w:val="Normal"/>
    <w:link w:val="EndnoteTextChar"/>
    <w:uiPriority w:val="99"/>
    <w:unhideWhenUsed/>
    <w:rsid w:val="001F2A3A"/>
    <w:rPr>
      <w:rFonts w:asciiTheme="minorHAnsi" w:eastAsiaTheme="minorHAnsi" w:hAnsiTheme="minorHAnsi" w:cstheme="minorBidi"/>
      <w:sz w:val="20"/>
      <w:szCs w:val="20"/>
    </w:rPr>
  </w:style>
  <w:style w:type="character" w:customStyle="1" w:styleId="EndnoteTextChar">
    <w:name w:val="Endnote Text Char"/>
    <w:basedOn w:val="DefaultParagraphFont"/>
    <w:link w:val="EndnoteText"/>
    <w:uiPriority w:val="99"/>
    <w:rsid w:val="001F2A3A"/>
    <w:rPr>
      <w:sz w:val="20"/>
      <w:szCs w:val="20"/>
    </w:rPr>
  </w:style>
  <w:style w:type="character" w:styleId="EndnoteReference">
    <w:name w:val="endnote reference"/>
    <w:basedOn w:val="DefaultParagraphFont"/>
    <w:uiPriority w:val="99"/>
    <w:semiHidden/>
    <w:unhideWhenUsed/>
    <w:rsid w:val="001F2A3A"/>
    <w:rPr>
      <w:vertAlign w:val="superscript"/>
    </w:rPr>
  </w:style>
  <w:style w:type="character" w:styleId="CommentReference">
    <w:name w:val="annotation reference"/>
    <w:basedOn w:val="DefaultParagraphFont"/>
    <w:uiPriority w:val="99"/>
    <w:semiHidden/>
    <w:unhideWhenUsed/>
    <w:rsid w:val="00F22143"/>
    <w:rPr>
      <w:sz w:val="16"/>
      <w:szCs w:val="16"/>
    </w:rPr>
  </w:style>
  <w:style w:type="paragraph" w:styleId="CommentText">
    <w:name w:val="annotation text"/>
    <w:basedOn w:val="Normal"/>
    <w:link w:val="CommentTextChar"/>
    <w:uiPriority w:val="99"/>
    <w:unhideWhenUsed/>
    <w:rsid w:val="00F22143"/>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F22143"/>
    <w:rPr>
      <w:sz w:val="20"/>
      <w:szCs w:val="20"/>
    </w:rPr>
  </w:style>
  <w:style w:type="paragraph" w:styleId="CommentSubject">
    <w:name w:val="annotation subject"/>
    <w:basedOn w:val="CommentText"/>
    <w:next w:val="CommentText"/>
    <w:link w:val="CommentSubjectChar"/>
    <w:uiPriority w:val="99"/>
    <w:semiHidden/>
    <w:unhideWhenUsed/>
    <w:rsid w:val="00F22143"/>
    <w:rPr>
      <w:b/>
      <w:bCs/>
    </w:rPr>
  </w:style>
  <w:style w:type="character" w:customStyle="1" w:styleId="CommentSubjectChar">
    <w:name w:val="Comment Subject Char"/>
    <w:basedOn w:val="CommentTextChar"/>
    <w:link w:val="CommentSubject"/>
    <w:uiPriority w:val="99"/>
    <w:semiHidden/>
    <w:rsid w:val="00F22143"/>
    <w:rPr>
      <w:b/>
      <w:bCs/>
      <w:sz w:val="20"/>
      <w:szCs w:val="20"/>
    </w:rPr>
  </w:style>
  <w:style w:type="paragraph" w:styleId="Revision">
    <w:name w:val="Revision"/>
    <w:hidden/>
    <w:uiPriority w:val="99"/>
    <w:semiHidden/>
    <w:rsid w:val="000757DA"/>
    <w:pPr>
      <w:spacing w:after="0" w:line="240" w:lineRule="auto"/>
    </w:pPr>
  </w:style>
  <w:style w:type="paragraph" w:styleId="HTMLPreformatted">
    <w:name w:val="HTML Preformatted"/>
    <w:basedOn w:val="Normal"/>
    <w:link w:val="HTMLPreformattedChar"/>
    <w:uiPriority w:val="99"/>
    <w:semiHidden/>
    <w:unhideWhenUsed/>
    <w:rsid w:val="001261E8"/>
    <w:rPr>
      <w:rFonts w:ascii="Consolas" w:eastAsiaTheme="minorHAnsi" w:hAnsi="Consolas" w:cs="Consolas"/>
      <w:sz w:val="20"/>
      <w:szCs w:val="20"/>
    </w:rPr>
  </w:style>
  <w:style w:type="character" w:customStyle="1" w:styleId="HTMLPreformattedChar">
    <w:name w:val="HTML Preformatted Char"/>
    <w:basedOn w:val="DefaultParagraphFont"/>
    <w:link w:val="HTMLPreformatted"/>
    <w:uiPriority w:val="99"/>
    <w:semiHidden/>
    <w:rsid w:val="001261E8"/>
    <w:rPr>
      <w:rFonts w:ascii="Consolas" w:hAnsi="Consolas" w:cs="Consolas"/>
      <w:sz w:val="20"/>
      <w:szCs w:val="20"/>
    </w:rPr>
  </w:style>
  <w:style w:type="paragraph" w:styleId="NormalWeb">
    <w:name w:val="Normal (Web)"/>
    <w:basedOn w:val="Normal"/>
    <w:uiPriority w:val="99"/>
    <w:semiHidden/>
    <w:unhideWhenUsed/>
    <w:rsid w:val="00A2104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5535">
      <w:bodyDiv w:val="1"/>
      <w:marLeft w:val="0"/>
      <w:marRight w:val="0"/>
      <w:marTop w:val="0"/>
      <w:marBottom w:val="0"/>
      <w:divBdr>
        <w:top w:val="none" w:sz="0" w:space="0" w:color="auto"/>
        <w:left w:val="none" w:sz="0" w:space="0" w:color="auto"/>
        <w:bottom w:val="none" w:sz="0" w:space="0" w:color="auto"/>
        <w:right w:val="none" w:sz="0" w:space="0" w:color="auto"/>
      </w:divBdr>
    </w:div>
    <w:div w:id="151409328">
      <w:bodyDiv w:val="1"/>
      <w:marLeft w:val="0"/>
      <w:marRight w:val="0"/>
      <w:marTop w:val="0"/>
      <w:marBottom w:val="0"/>
      <w:divBdr>
        <w:top w:val="none" w:sz="0" w:space="0" w:color="auto"/>
        <w:left w:val="none" w:sz="0" w:space="0" w:color="auto"/>
        <w:bottom w:val="none" w:sz="0" w:space="0" w:color="auto"/>
        <w:right w:val="none" w:sz="0" w:space="0" w:color="auto"/>
      </w:divBdr>
      <w:divsChild>
        <w:div w:id="1030304551">
          <w:marLeft w:val="0"/>
          <w:marRight w:val="0"/>
          <w:marTop w:val="0"/>
          <w:marBottom w:val="0"/>
          <w:divBdr>
            <w:top w:val="none" w:sz="0" w:space="0" w:color="auto"/>
            <w:left w:val="none" w:sz="0" w:space="0" w:color="auto"/>
            <w:bottom w:val="none" w:sz="0" w:space="0" w:color="auto"/>
            <w:right w:val="none" w:sz="0" w:space="0" w:color="auto"/>
          </w:divBdr>
        </w:div>
      </w:divsChild>
    </w:div>
    <w:div w:id="186255822">
      <w:bodyDiv w:val="1"/>
      <w:marLeft w:val="0"/>
      <w:marRight w:val="0"/>
      <w:marTop w:val="0"/>
      <w:marBottom w:val="0"/>
      <w:divBdr>
        <w:top w:val="none" w:sz="0" w:space="0" w:color="auto"/>
        <w:left w:val="none" w:sz="0" w:space="0" w:color="auto"/>
        <w:bottom w:val="none" w:sz="0" w:space="0" w:color="auto"/>
        <w:right w:val="none" w:sz="0" w:space="0" w:color="auto"/>
      </w:divBdr>
    </w:div>
    <w:div w:id="214509053">
      <w:bodyDiv w:val="1"/>
      <w:marLeft w:val="0"/>
      <w:marRight w:val="0"/>
      <w:marTop w:val="0"/>
      <w:marBottom w:val="0"/>
      <w:divBdr>
        <w:top w:val="none" w:sz="0" w:space="0" w:color="auto"/>
        <w:left w:val="none" w:sz="0" w:space="0" w:color="auto"/>
        <w:bottom w:val="none" w:sz="0" w:space="0" w:color="auto"/>
        <w:right w:val="none" w:sz="0" w:space="0" w:color="auto"/>
      </w:divBdr>
      <w:divsChild>
        <w:div w:id="640886859">
          <w:marLeft w:val="0"/>
          <w:marRight w:val="0"/>
          <w:marTop w:val="0"/>
          <w:marBottom w:val="0"/>
          <w:divBdr>
            <w:top w:val="none" w:sz="0" w:space="0" w:color="auto"/>
            <w:left w:val="none" w:sz="0" w:space="0" w:color="auto"/>
            <w:bottom w:val="none" w:sz="0" w:space="0" w:color="auto"/>
            <w:right w:val="none" w:sz="0" w:space="0" w:color="auto"/>
          </w:divBdr>
        </w:div>
      </w:divsChild>
    </w:div>
    <w:div w:id="322584953">
      <w:bodyDiv w:val="1"/>
      <w:marLeft w:val="0"/>
      <w:marRight w:val="0"/>
      <w:marTop w:val="0"/>
      <w:marBottom w:val="0"/>
      <w:divBdr>
        <w:top w:val="none" w:sz="0" w:space="0" w:color="auto"/>
        <w:left w:val="none" w:sz="0" w:space="0" w:color="auto"/>
        <w:bottom w:val="none" w:sz="0" w:space="0" w:color="auto"/>
        <w:right w:val="none" w:sz="0" w:space="0" w:color="auto"/>
      </w:divBdr>
      <w:divsChild>
        <w:div w:id="1849103513">
          <w:marLeft w:val="0"/>
          <w:marRight w:val="0"/>
          <w:marTop w:val="0"/>
          <w:marBottom w:val="0"/>
          <w:divBdr>
            <w:top w:val="none" w:sz="0" w:space="0" w:color="auto"/>
            <w:left w:val="none" w:sz="0" w:space="0" w:color="auto"/>
            <w:bottom w:val="none" w:sz="0" w:space="0" w:color="auto"/>
            <w:right w:val="none" w:sz="0" w:space="0" w:color="auto"/>
          </w:divBdr>
          <w:divsChild>
            <w:div w:id="1434083861">
              <w:marLeft w:val="0"/>
              <w:marRight w:val="0"/>
              <w:marTop w:val="0"/>
              <w:marBottom w:val="0"/>
              <w:divBdr>
                <w:top w:val="none" w:sz="0" w:space="0" w:color="auto"/>
                <w:left w:val="none" w:sz="0" w:space="0" w:color="auto"/>
                <w:bottom w:val="none" w:sz="0" w:space="0" w:color="auto"/>
                <w:right w:val="none" w:sz="0" w:space="0" w:color="auto"/>
              </w:divBdr>
              <w:divsChild>
                <w:div w:id="846211434">
                  <w:marLeft w:val="0"/>
                  <w:marRight w:val="0"/>
                  <w:marTop w:val="0"/>
                  <w:marBottom w:val="0"/>
                  <w:divBdr>
                    <w:top w:val="none" w:sz="0" w:space="0" w:color="auto"/>
                    <w:left w:val="none" w:sz="0" w:space="0" w:color="auto"/>
                    <w:bottom w:val="none" w:sz="0" w:space="0" w:color="auto"/>
                    <w:right w:val="none" w:sz="0" w:space="0" w:color="auto"/>
                  </w:divBdr>
                  <w:divsChild>
                    <w:div w:id="342243033">
                      <w:marLeft w:val="0"/>
                      <w:marRight w:val="0"/>
                      <w:marTop w:val="0"/>
                      <w:marBottom w:val="0"/>
                      <w:divBdr>
                        <w:top w:val="none" w:sz="0" w:space="0" w:color="auto"/>
                        <w:left w:val="none" w:sz="0" w:space="0" w:color="auto"/>
                        <w:bottom w:val="none" w:sz="0" w:space="0" w:color="auto"/>
                        <w:right w:val="none" w:sz="0" w:space="0" w:color="auto"/>
                      </w:divBdr>
                      <w:divsChild>
                        <w:div w:id="16278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157883">
          <w:marLeft w:val="0"/>
          <w:marRight w:val="0"/>
          <w:marTop w:val="0"/>
          <w:marBottom w:val="0"/>
          <w:divBdr>
            <w:top w:val="none" w:sz="0" w:space="0" w:color="auto"/>
            <w:left w:val="none" w:sz="0" w:space="0" w:color="auto"/>
            <w:bottom w:val="none" w:sz="0" w:space="0" w:color="auto"/>
            <w:right w:val="none" w:sz="0" w:space="0" w:color="auto"/>
          </w:divBdr>
          <w:divsChild>
            <w:div w:id="2128770596">
              <w:marLeft w:val="0"/>
              <w:marRight w:val="0"/>
              <w:marTop w:val="0"/>
              <w:marBottom w:val="0"/>
              <w:divBdr>
                <w:top w:val="none" w:sz="0" w:space="0" w:color="auto"/>
                <w:left w:val="none" w:sz="0" w:space="0" w:color="auto"/>
                <w:bottom w:val="none" w:sz="0" w:space="0" w:color="auto"/>
                <w:right w:val="none" w:sz="0" w:space="0" w:color="auto"/>
              </w:divBdr>
              <w:divsChild>
                <w:div w:id="787891732">
                  <w:marLeft w:val="0"/>
                  <w:marRight w:val="0"/>
                  <w:marTop w:val="0"/>
                  <w:marBottom w:val="0"/>
                  <w:divBdr>
                    <w:top w:val="none" w:sz="0" w:space="0" w:color="auto"/>
                    <w:left w:val="none" w:sz="0" w:space="0" w:color="auto"/>
                    <w:bottom w:val="none" w:sz="0" w:space="0" w:color="auto"/>
                    <w:right w:val="none" w:sz="0" w:space="0" w:color="auto"/>
                  </w:divBdr>
                  <w:divsChild>
                    <w:div w:id="1175026384">
                      <w:marLeft w:val="0"/>
                      <w:marRight w:val="0"/>
                      <w:marTop w:val="0"/>
                      <w:marBottom w:val="0"/>
                      <w:divBdr>
                        <w:top w:val="none" w:sz="0" w:space="0" w:color="auto"/>
                        <w:left w:val="none" w:sz="0" w:space="0" w:color="auto"/>
                        <w:bottom w:val="none" w:sz="0" w:space="0" w:color="auto"/>
                        <w:right w:val="none" w:sz="0" w:space="0" w:color="auto"/>
                      </w:divBdr>
                      <w:divsChild>
                        <w:div w:id="1848012893">
                          <w:marLeft w:val="0"/>
                          <w:marRight w:val="0"/>
                          <w:marTop w:val="0"/>
                          <w:marBottom w:val="0"/>
                          <w:divBdr>
                            <w:top w:val="none" w:sz="0" w:space="0" w:color="auto"/>
                            <w:left w:val="none" w:sz="0" w:space="0" w:color="auto"/>
                            <w:bottom w:val="none" w:sz="0" w:space="0" w:color="auto"/>
                            <w:right w:val="none" w:sz="0" w:space="0" w:color="auto"/>
                          </w:divBdr>
                          <w:divsChild>
                            <w:div w:id="403527288">
                              <w:marLeft w:val="0"/>
                              <w:marRight w:val="0"/>
                              <w:marTop w:val="0"/>
                              <w:marBottom w:val="0"/>
                              <w:divBdr>
                                <w:top w:val="none" w:sz="0" w:space="0" w:color="auto"/>
                                <w:left w:val="none" w:sz="0" w:space="0" w:color="auto"/>
                                <w:bottom w:val="none" w:sz="0" w:space="0" w:color="auto"/>
                                <w:right w:val="none" w:sz="0" w:space="0" w:color="auto"/>
                              </w:divBdr>
                              <w:divsChild>
                                <w:div w:id="9030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942549">
      <w:bodyDiv w:val="1"/>
      <w:marLeft w:val="0"/>
      <w:marRight w:val="0"/>
      <w:marTop w:val="0"/>
      <w:marBottom w:val="0"/>
      <w:divBdr>
        <w:top w:val="none" w:sz="0" w:space="0" w:color="auto"/>
        <w:left w:val="none" w:sz="0" w:space="0" w:color="auto"/>
        <w:bottom w:val="none" w:sz="0" w:space="0" w:color="auto"/>
        <w:right w:val="none" w:sz="0" w:space="0" w:color="auto"/>
      </w:divBdr>
    </w:div>
    <w:div w:id="441149217">
      <w:bodyDiv w:val="1"/>
      <w:marLeft w:val="0"/>
      <w:marRight w:val="0"/>
      <w:marTop w:val="0"/>
      <w:marBottom w:val="0"/>
      <w:divBdr>
        <w:top w:val="none" w:sz="0" w:space="0" w:color="auto"/>
        <w:left w:val="none" w:sz="0" w:space="0" w:color="auto"/>
        <w:bottom w:val="none" w:sz="0" w:space="0" w:color="auto"/>
        <w:right w:val="none" w:sz="0" w:space="0" w:color="auto"/>
      </w:divBdr>
    </w:div>
    <w:div w:id="533731591">
      <w:bodyDiv w:val="1"/>
      <w:marLeft w:val="0"/>
      <w:marRight w:val="0"/>
      <w:marTop w:val="0"/>
      <w:marBottom w:val="0"/>
      <w:divBdr>
        <w:top w:val="none" w:sz="0" w:space="0" w:color="auto"/>
        <w:left w:val="none" w:sz="0" w:space="0" w:color="auto"/>
        <w:bottom w:val="none" w:sz="0" w:space="0" w:color="auto"/>
        <w:right w:val="none" w:sz="0" w:space="0" w:color="auto"/>
      </w:divBdr>
      <w:divsChild>
        <w:div w:id="1757022247">
          <w:marLeft w:val="0"/>
          <w:marRight w:val="0"/>
          <w:marTop w:val="0"/>
          <w:marBottom w:val="0"/>
          <w:divBdr>
            <w:top w:val="none" w:sz="0" w:space="0" w:color="auto"/>
            <w:left w:val="none" w:sz="0" w:space="0" w:color="auto"/>
            <w:bottom w:val="none" w:sz="0" w:space="0" w:color="auto"/>
            <w:right w:val="none" w:sz="0" w:space="0" w:color="auto"/>
          </w:divBdr>
        </w:div>
      </w:divsChild>
    </w:div>
    <w:div w:id="540940536">
      <w:bodyDiv w:val="1"/>
      <w:marLeft w:val="0"/>
      <w:marRight w:val="0"/>
      <w:marTop w:val="0"/>
      <w:marBottom w:val="0"/>
      <w:divBdr>
        <w:top w:val="none" w:sz="0" w:space="0" w:color="auto"/>
        <w:left w:val="none" w:sz="0" w:space="0" w:color="auto"/>
        <w:bottom w:val="none" w:sz="0" w:space="0" w:color="auto"/>
        <w:right w:val="none" w:sz="0" w:space="0" w:color="auto"/>
      </w:divBdr>
    </w:div>
    <w:div w:id="557285014">
      <w:bodyDiv w:val="1"/>
      <w:marLeft w:val="0"/>
      <w:marRight w:val="0"/>
      <w:marTop w:val="0"/>
      <w:marBottom w:val="0"/>
      <w:divBdr>
        <w:top w:val="none" w:sz="0" w:space="0" w:color="auto"/>
        <w:left w:val="none" w:sz="0" w:space="0" w:color="auto"/>
        <w:bottom w:val="none" w:sz="0" w:space="0" w:color="auto"/>
        <w:right w:val="none" w:sz="0" w:space="0" w:color="auto"/>
      </w:divBdr>
      <w:divsChild>
        <w:div w:id="1134759942">
          <w:marLeft w:val="0"/>
          <w:marRight w:val="0"/>
          <w:marTop w:val="0"/>
          <w:marBottom w:val="0"/>
          <w:divBdr>
            <w:top w:val="none" w:sz="0" w:space="0" w:color="auto"/>
            <w:left w:val="none" w:sz="0" w:space="0" w:color="auto"/>
            <w:bottom w:val="none" w:sz="0" w:space="0" w:color="auto"/>
            <w:right w:val="none" w:sz="0" w:space="0" w:color="auto"/>
          </w:divBdr>
        </w:div>
      </w:divsChild>
    </w:div>
    <w:div w:id="559288407">
      <w:bodyDiv w:val="1"/>
      <w:marLeft w:val="0"/>
      <w:marRight w:val="0"/>
      <w:marTop w:val="0"/>
      <w:marBottom w:val="0"/>
      <w:divBdr>
        <w:top w:val="none" w:sz="0" w:space="0" w:color="auto"/>
        <w:left w:val="none" w:sz="0" w:space="0" w:color="auto"/>
        <w:bottom w:val="none" w:sz="0" w:space="0" w:color="auto"/>
        <w:right w:val="none" w:sz="0" w:space="0" w:color="auto"/>
      </w:divBdr>
    </w:div>
    <w:div w:id="575743506">
      <w:bodyDiv w:val="1"/>
      <w:marLeft w:val="0"/>
      <w:marRight w:val="0"/>
      <w:marTop w:val="0"/>
      <w:marBottom w:val="0"/>
      <w:divBdr>
        <w:top w:val="none" w:sz="0" w:space="0" w:color="auto"/>
        <w:left w:val="none" w:sz="0" w:space="0" w:color="auto"/>
        <w:bottom w:val="none" w:sz="0" w:space="0" w:color="auto"/>
        <w:right w:val="none" w:sz="0" w:space="0" w:color="auto"/>
      </w:divBdr>
    </w:div>
    <w:div w:id="682250048">
      <w:bodyDiv w:val="1"/>
      <w:marLeft w:val="0"/>
      <w:marRight w:val="0"/>
      <w:marTop w:val="0"/>
      <w:marBottom w:val="0"/>
      <w:divBdr>
        <w:top w:val="none" w:sz="0" w:space="0" w:color="auto"/>
        <w:left w:val="none" w:sz="0" w:space="0" w:color="auto"/>
        <w:bottom w:val="none" w:sz="0" w:space="0" w:color="auto"/>
        <w:right w:val="none" w:sz="0" w:space="0" w:color="auto"/>
      </w:divBdr>
      <w:divsChild>
        <w:div w:id="349719218">
          <w:marLeft w:val="0"/>
          <w:marRight w:val="0"/>
          <w:marTop w:val="0"/>
          <w:marBottom w:val="0"/>
          <w:divBdr>
            <w:top w:val="none" w:sz="0" w:space="0" w:color="auto"/>
            <w:left w:val="none" w:sz="0" w:space="0" w:color="auto"/>
            <w:bottom w:val="none" w:sz="0" w:space="0" w:color="auto"/>
            <w:right w:val="none" w:sz="0" w:space="0" w:color="auto"/>
          </w:divBdr>
        </w:div>
      </w:divsChild>
    </w:div>
    <w:div w:id="764500060">
      <w:bodyDiv w:val="1"/>
      <w:marLeft w:val="0"/>
      <w:marRight w:val="0"/>
      <w:marTop w:val="0"/>
      <w:marBottom w:val="0"/>
      <w:divBdr>
        <w:top w:val="none" w:sz="0" w:space="0" w:color="auto"/>
        <w:left w:val="none" w:sz="0" w:space="0" w:color="auto"/>
        <w:bottom w:val="none" w:sz="0" w:space="0" w:color="auto"/>
        <w:right w:val="none" w:sz="0" w:space="0" w:color="auto"/>
      </w:divBdr>
      <w:divsChild>
        <w:div w:id="1543706610">
          <w:marLeft w:val="0"/>
          <w:marRight w:val="0"/>
          <w:marTop w:val="0"/>
          <w:marBottom w:val="0"/>
          <w:divBdr>
            <w:top w:val="none" w:sz="0" w:space="0" w:color="auto"/>
            <w:left w:val="none" w:sz="0" w:space="0" w:color="auto"/>
            <w:bottom w:val="none" w:sz="0" w:space="0" w:color="auto"/>
            <w:right w:val="none" w:sz="0" w:space="0" w:color="auto"/>
          </w:divBdr>
        </w:div>
      </w:divsChild>
    </w:div>
    <w:div w:id="822702394">
      <w:bodyDiv w:val="1"/>
      <w:marLeft w:val="0"/>
      <w:marRight w:val="0"/>
      <w:marTop w:val="0"/>
      <w:marBottom w:val="0"/>
      <w:divBdr>
        <w:top w:val="none" w:sz="0" w:space="0" w:color="auto"/>
        <w:left w:val="none" w:sz="0" w:space="0" w:color="auto"/>
        <w:bottom w:val="none" w:sz="0" w:space="0" w:color="auto"/>
        <w:right w:val="none" w:sz="0" w:space="0" w:color="auto"/>
      </w:divBdr>
    </w:div>
    <w:div w:id="916596906">
      <w:bodyDiv w:val="1"/>
      <w:marLeft w:val="0"/>
      <w:marRight w:val="0"/>
      <w:marTop w:val="0"/>
      <w:marBottom w:val="0"/>
      <w:divBdr>
        <w:top w:val="none" w:sz="0" w:space="0" w:color="auto"/>
        <w:left w:val="none" w:sz="0" w:space="0" w:color="auto"/>
        <w:bottom w:val="none" w:sz="0" w:space="0" w:color="auto"/>
        <w:right w:val="none" w:sz="0" w:space="0" w:color="auto"/>
      </w:divBdr>
      <w:divsChild>
        <w:div w:id="1193225023">
          <w:marLeft w:val="0"/>
          <w:marRight w:val="0"/>
          <w:marTop w:val="0"/>
          <w:marBottom w:val="0"/>
          <w:divBdr>
            <w:top w:val="none" w:sz="0" w:space="0" w:color="auto"/>
            <w:left w:val="none" w:sz="0" w:space="0" w:color="auto"/>
            <w:bottom w:val="none" w:sz="0" w:space="0" w:color="auto"/>
            <w:right w:val="none" w:sz="0" w:space="0" w:color="auto"/>
          </w:divBdr>
        </w:div>
      </w:divsChild>
    </w:div>
    <w:div w:id="938561745">
      <w:bodyDiv w:val="1"/>
      <w:marLeft w:val="0"/>
      <w:marRight w:val="0"/>
      <w:marTop w:val="0"/>
      <w:marBottom w:val="0"/>
      <w:divBdr>
        <w:top w:val="none" w:sz="0" w:space="0" w:color="auto"/>
        <w:left w:val="none" w:sz="0" w:space="0" w:color="auto"/>
        <w:bottom w:val="none" w:sz="0" w:space="0" w:color="auto"/>
        <w:right w:val="none" w:sz="0" w:space="0" w:color="auto"/>
      </w:divBdr>
    </w:div>
    <w:div w:id="988677725">
      <w:bodyDiv w:val="1"/>
      <w:marLeft w:val="0"/>
      <w:marRight w:val="0"/>
      <w:marTop w:val="0"/>
      <w:marBottom w:val="0"/>
      <w:divBdr>
        <w:top w:val="none" w:sz="0" w:space="0" w:color="auto"/>
        <w:left w:val="none" w:sz="0" w:space="0" w:color="auto"/>
        <w:bottom w:val="none" w:sz="0" w:space="0" w:color="auto"/>
        <w:right w:val="none" w:sz="0" w:space="0" w:color="auto"/>
      </w:divBdr>
      <w:divsChild>
        <w:div w:id="746879876">
          <w:marLeft w:val="0"/>
          <w:marRight w:val="0"/>
          <w:marTop w:val="0"/>
          <w:marBottom w:val="0"/>
          <w:divBdr>
            <w:top w:val="none" w:sz="0" w:space="0" w:color="auto"/>
            <w:left w:val="none" w:sz="0" w:space="0" w:color="auto"/>
            <w:bottom w:val="none" w:sz="0" w:space="0" w:color="auto"/>
            <w:right w:val="none" w:sz="0" w:space="0" w:color="auto"/>
          </w:divBdr>
        </w:div>
      </w:divsChild>
    </w:div>
    <w:div w:id="1017318456">
      <w:bodyDiv w:val="1"/>
      <w:marLeft w:val="0"/>
      <w:marRight w:val="0"/>
      <w:marTop w:val="0"/>
      <w:marBottom w:val="0"/>
      <w:divBdr>
        <w:top w:val="none" w:sz="0" w:space="0" w:color="auto"/>
        <w:left w:val="none" w:sz="0" w:space="0" w:color="auto"/>
        <w:bottom w:val="none" w:sz="0" w:space="0" w:color="auto"/>
        <w:right w:val="none" w:sz="0" w:space="0" w:color="auto"/>
      </w:divBdr>
    </w:div>
    <w:div w:id="1029525515">
      <w:bodyDiv w:val="1"/>
      <w:marLeft w:val="0"/>
      <w:marRight w:val="0"/>
      <w:marTop w:val="0"/>
      <w:marBottom w:val="0"/>
      <w:divBdr>
        <w:top w:val="none" w:sz="0" w:space="0" w:color="auto"/>
        <w:left w:val="none" w:sz="0" w:space="0" w:color="auto"/>
        <w:bottom w:val="none" w:sz="0" w:space="0" w:color="auto"/>
        <w:right w:val="none" w:sz="0" w:space="0" w:color="auto"/>
      </w:divBdr>
      <w:divsChild>
        <w:div w:id="1658682239">
          <w:marLeft w:val="0"/>
          <w:marRight w:val="0"/>
          <w:marTop w:val="0"/>
          <w:marBottom w:val="0"/>
          <w:divBdr>
            <w:top w:val="none" w:sz="0" w:space="0" w:color="auto"/>
            <w:left w:val="none" w:sz="0" w:space="0" w:color="auto"/>
            <w:bottom w:val="none" w:sz="0" w:space="0" w:color="auto"/>
            <w:right w:val="none" w:sz="0" w:space="0" w:color="auto"/>
          </w:divBdr>
        </w:div>
      </w:divsChild>
    </w:div>
    <w:div w:id="1058476639">
      <w:bodyDiv w:val="1"/>
      <w:marLeft w:val="0"/>
      <w:marRight w:val="0"/>
      <w:marTop w:val="0"/>
      <w:marBottom w:val="0"/>
      <w:divBdr>
        <w:top w:val="none" w:sz="0" w:space="0" w:color="auto"/>
        <w:left w:val="none" w:sz="0" w:space="0" w:color="auto"/>
        <w:bottom w:val="none" w:sz="0" w:space="0" w:color="auto"/>
        <w:right w:val="none" w:sz="0" w:space="0" w:color="auto"/>
      </w:divBdr>
      <w:divsChild>
        <w:div w:id="1932622321">
          <w:marLeft w:val="0"/>
          <w:marRight w:val="0"/>
          <w:marTop w:val="0"/>
          <w:marBottom w:val="0"/>
          <w:divBdr>
            <w:top w:val="none" w:sz="0" w:space="0" w:color="auto"/>
            <w:left w:val="none" w:sz="0" w:space="0" w:color="auto"/>
            <w:bottom w:val="none" w:sz="0" w:space="0" w:color="auto"/>
            <w:right w:val="none" w:sz="0" w:space="0" w:color="auto"/>
          </w:divBdr>
          <w:divsChild>
            <w:div w:id="1146552843">
              <w:marLeft w:val="0"/>
              <w:marRight w:val="0"/>
              <w:marTop w:val="0"/>
              <w:marBottom w:val="0"/>
              <w:divBdr>
                <w:top w:val="none" w:sz="0" w:space="0" w:color="auto"/>
                <w:left w:val="none" w:sz="0" w:space="0" w:color="auto"/>
                <w:bottom w:val="none" w:sz="0" w:space="0" w:color="auto"/>
                <w:right w:val="none" w:sz="0" w:space="0" w:color="auto"/>
              </w:divBdr>
              <w:divsChild>
                <w:div w:id="1275870104">
                  <w:marLeft w:val="0"/>
                  <w:marRight w:val="0"/>
                  <w:marTop w:val="0"/>
                  <w:marBottom w:val="0"/>
                  <w:divBdr>
                    <w:top w:val="none" w:sz="0" w:space="0" w:color="auto"/>
                    <w:left w:val="none" w:sz="0" w:space="0" w:color="auto"/>
                    <w:bottom w:val="none" w:sz="0" w:space="0" w:color="auto"/>
                    <w:right w:val="none" w:sz="0" w:space="0" w:color="auto"/>
                  </w:divBdr>
                  <w:divsChild>
                    <w:div w:id="207022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312020">
      <w:bodyDiv w:val="1"/>
      <w:marLeft w:val="0"/>
      <w:marRight w:val="0"/>
      <w:marTop w:val="0"/>
      <w:marBottom w:val="0"/>
      <w:divBdr>
        <w:top w:val="none" w:sz="0" w:space="0" w:color="auto"/>
        <w:left w:val="none" w:sz="0" w:space="0" w:color="auto"/>
        <w:bottom w:val="none" w:sz="0" w:space="0" w:color="auto"/>
        <w:right w:val="none" w:sz="0" w:space="0" w:color="auto"/>
      </w:divBdr>
      <w:divsChild>
        <w:div w:id="365906932">
          <w:marLeft w:val="0"/>
          <w:marRight w:val="0"/>
          <w:marTop w:val="0"/>
          <w:marBottom w:val="0"/>
          <w:divBdr>
            <w:top w:val="none" w:sz="0" w:space="0" w:color="auto"/>
            <w:left w:val="none" w:sz="0" w:space="0" w:color="auto"/>
            <w:bottom w:val="none" w:sz="0" w:space="0" w:color="auto"/>
            <w:right w:val="none" w:sz="0" w:space="0" w:color="auto"/>
          </w:divBdr>
        </w:div>
      </w:divsChild>
    </w:div>
    <w:div w:id="1137800748">
      <w:bodyDiv w:val="1"/>
      <w:marLeft w:val="0"/>
      <w:marRight w:val="0"/>
      <w:marTop w:val="0"/>
      <w:marBottom w:val="0"/>
      <w:divBdr>
        <w:top w:val="none" w:sz="0" w:space="0" w:color="auto"/>
        <w:left w:val="none" w:sz="0" w:space="0" w:color="auto"/>
        <w:bottom w:val="none" w:sz="0" w:space="0" w:color="auto"/>
        <w:right w:val="none" w:sz="0" w:space="0" w:color="auto"/>
      </w:divBdr>
    </w:div>
    <w:div w:id="1257905770">
      <w:bodyDiv w:val="1"/>
      <w:marLeft w:val="0"/>
      <w:marRight w:val="0"/>
      <w:marTop w:val="0"/>
      <w:marBottom w:val="0"/>
      <w:divBdr>
        <w:top w:val="none" w:sz="0" w:space="0" w:color="auto"/>
        <w:left w:val="none" w:sz="0" w:space="0" w:color="auto"/>
        <w:bottom w:val="none" w:sz="0" w:space="0" w:color="auto"/>
        <w:right w:val="none" w:sz="0" w:space="0" w:color="auto"/>
      </w:divBdr>
    </w:div>
    <w:div w:id="1329672641">
      <w:bodyDiv w:val="1"/>
      <w:marLeft w:val="0"/>
      <w:marRight w:val="0"/>
      <w:marTop w:val="0"/>
      <w:marBottom w:val="0"/>
      <w:divBdr>
        <w:top w:val="none" w:sz="0" w:space="0" w:color="auto"/>
        <w:left w:val="none" w:sz="0" w:space="0" w:color="auto"/>
        <w:bottom w:val="none" w:sz="0" w:space="0" w:color="auto"/>
        <w:right w:val="none" w:sz="0" w:space="0" w:color="auto"/>
      </w:divBdr>
      <w:divsChild>
        <w:div w:id="725495293">
          <w:marLeft w:val="0"/>
          <w:marRight w:val="0"/>
          <w:marTop w:val="0"/>
          <w:marBottom w:val="0"/>
          <w:divBdr>
            <w:top w:val="none" w:sz="0" w:space="0" w:color="auto"/>
            <w:left w:val="none" w:sz="0" w:space="0" w:color="auto"/>
            <w:bottom w:val="none" w:sz="0" w:space="0" w:color="auto"/>
            <w:right w:val="none" w:sz="0" w:space="0" w:color="auto"/>
          </w:divBdr>
        </w:div>
      </w:divsChild>
    </w:div>
    <w:div w:id="1443259909">
      <w:bodyDiv w:val="1"/>
      <w:marLeft w:val="0"/>
      <w:marRight w:val="0"/>
      <w:marTop w:val="0"/>
      <w:marBottom w:val="0"/>
      <w:divBdr>
        <w:top w:val="none" w:sz="0" w:space="0" w:color="auto"/>
        <w:left w:val="none" w:sz="0" w:space="0" w:color="auto"/>
        <w:bottom w:val="none" w:sz="0" w:space="0" w:color="auto"/>
        <w:right w:val="none" w:sz="0" w:space="0" w:color="auto"/>
      </w:divBdr>
    </w:div>
    <w:div w:id="1482648172">
      <w:bodyDiv w:val="1"/>
      <w:marLeft w:val="0"/>
      <w:marRight w:val="0"/>
      <w:marTop w:val="0"/>
      <w:marBottom w:val="0"/>
      <w:divBdr>
        <w:top w:val="none" w:sz="0" w:space="0" w:color="auto"/>
        <w:left w:val="none" w:sz="0" w:space="0" w:color="auto"/>
        <w:bottom w:val="none" w:sz="0" w:space="0" w:color="auto"/>
        <w:right w:val="none" w:sz="0" w:space="0" w:color="auto"/>
      </w:divBdr>
      <w:divsChild>
        <w:div w:id="2114351776">
          <w:marLeft w:val="0"/>
          <w:marRight w:val="0"/>
          <w:marTop w:val="0"/>
          <w:marBottom w:val="0"/>
          <w:divBdr>
            <w:top w:val="none" w:sz="0" w:space="0" w:color="auto"/>
            <w:left w:val="none" w:sz="0" w:space="0" w:color="auto"/>
            <w:bottom w:val="none" w:sz="0" w:space="0" w:color="auto"/>
            <w:right w:val="none" w:sz="0" w:space="0" w:color="auto"/>
          </w:divBdr>
        </w:div>
      </w:divsChild>
    </w:div>
    <w:div w:id="1490441360">
      <w:bodyDiv w:val="1"/>
      <w:marLeft w:val="0"/>
      <w:marRight w:val="0"/>
      <w:marTop w:val="0"/>
      <w:marBottom w:val="0"/>
      <w:divBdr>
        <w:top w:val="none" w:sz="0" w:space="0" w:color="auto"/>
        <w:left w:val="none" w:sz="0" w:space="0" w:color="auto"/>
        <w:bottom w:val="none" w:sz="0" w:space="0" w:color="auto"/>
        <w:right w:val="none" w:sz="0" w:space="0" w:color="auto"/>
      </w:divBdr>
    </w:div>
    <w:div w:id="1770006198">
      <w:bodyDiv w:val="1"/>
      <w:marLeft w:val="0"/>
      <w:marRight w:val="0"/>
      <w:marTop w:val="0"/>
      <w:marBottom w:val="0"/>
      <w:divBdr>
        <w:top w:val="none" w:sz="0" w:space="0" w:color="auto"/>
        <w:left w:val="none" w:sz="0" w:space="0" w:color="auto"/>
        <w:bottom w:val="none" w:sz="0" w:space="0" w:color="auto"/>
        <w:right w:val="none" w:sz="0" w:space="0" w:color="auto"/>
      </w:divBdr>
      <w:divsChild>
        <w:div w:id="79835598">
          <w:marLeft w:val="0"/>
          <w:marRight w:val="0"/>
          <w:marTop w:val="0"/>
          <w:marBottom w:val="0"/>
          <w:divBdr>
            <w:top w:val="none" w:sz="0" w:space="0" w:color="auto"/>
            <w:left w:val="none" w:sz="0" w:space="0" w:color="auto"/>
            <w:bottom w:val="none" w:sz="0" w:space="0" w:color="auto"/>
            <w:right w:val="none" w:sz="0" w:space="0" w:color="auto"/>
          </w:divBdr>
          <w:divsChild>
            <w:div w:id="1588806284">
              <w:marLeft w:val="0"/>
              <w:marRight w:val="0"/>
              <w:marTop w:val="0"/>
              <w:marBottom w:val="0"/>
              <w:divBdr>
                <w:top w:val="none" w:sz="0" w:space="0" w:color="auto"/>
                <w:left w:val="none" w:sz="0" w:space="0" w:color="auto"/>
                <w:bottom w:val="none" w:sz="0" w:space="0" w:color="auto"/>
                <w:right w:val="none" w:sz="0" w:space="0" w:color="auto"/>
              </w:divBdr>
              <w:divsChild>
                <w:div w:id="489715389">
                  <w:marLeft w:val="0"/>
                  <w:marRight w:val="0"/>
                  <w:marTop w:val="0"/>
                  <w:marBottom w:val="0"/>
                  <w:divBdr>
                    <w:top w:val="none" w:sz="0" w:space="0" w:color="auto"/>
                    <w:left w:val="none" w:sz="0" w:space="0" w:color="auto"/>
                    <w:bottom w:val="none" w:sz="0" w:space="0" w:color="auto"/>
                    <w:right w:val="none" w:sz="0" w:space="0" w:color="auto"/>
                  </w:divBdr>
                  <w:divsChild>
                    <w:div w:id="1454791567">
                      <w:marLeft w:val="0"/>
                      <w:marRight w:val="0"/>
                      <w:marTop w:val="0"/>
                      <w:marBottom w:val="0"/>
                      <w:divBdr>
                        <w:top w:val="none" w:sz="0" w:space="0" w:color="auto"/>
                        <w:left w:val="none" w:sz="0" w:space="0" w:color="auto"/>
                        <w:bottom w:val="none" w:sz="0" w:space="0" w:color="auto"/>
                        <w:right w:val="none" w:sz="0" w:space="0" w:color="auto"/>
                      </w:divBdr>
                      <w:divsChild>
                        <w:div w:id="18889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544368">
          <w:marLeft w:val="0"/>
          <w:marRight w:val="0"/>
          <w:marTop w:val="0"/>
          <w:marBottom w:val="0"/>
          <w:divBdr>
            <w:top w:val="none" w:sz="0" w:space="0" w:color="auto"/>
            <w:left w:val="none" w:sz="0" w:space="0" w:color="auto"/>
            <w:bottom w:val="none" w:sz="0" w:space="0" w:color="auto"/>
            <w:right w:val="none" w:sz="0" w:space="0" w:color="auto"/>
          </w:divBdr>
          <w:divsChild>
            <w:div w:id="443382291">
              <w:marLeft w:val="0"/>
              <w:marRight w:val="0"/>
              <w:marTop w:val="0"/>
              <w:marBottom w:val="0"/>
              <w:divBdr>
                <w:top w:val="none" w:sz="0" w:space="0" w:color="auto"/>
                <w:left w:val="none" w:sz="0" w:space="0" w:color="auto"/>
                <w:bottom w:val="none" w:sz="0" w:space="0" w:color="auto"/>
                <w:right w:val="none" w:sz="0" w:space="0" w:color="auto"/>
              </w:divBdr>
              <w:divsChild>
                <w:div w:id="1554073432">
                  <w:marLeft w:val="0"/>
                  <w:marRight w:val="0"/>
                  <w:marTop w:val="0"/>
                  <w:marBottom w:val="0"/>
                  <w:divBdr>
                    <w:top w:val="none" w:sz="0" w:space="0" w:color="auto"/>
                    <w:left w:val="none" w:sz="0" w:space="0" w:color="auto"/>
                    <w:bottom w:val="none" w:sz="0" w:space="0" w:color="auto"/>
                    <w:right w:val="none" w:sz="0" w:space="0" w:color="auto"/>
                  </w:divBdr>
                  <w:divsChild>
                    <w:div w:id="1114129462">
                      <w:marLeft w:val="0"/>
                      <w:marRight w:val="0"/>
                      <w:marTop w:val="0"/>
                      <w:marBottom w:val="0"/>
                      <w:divBdr>
                        <w:top w:val="none" w:sz="0" w:space="0" w:color="auto"/>
                        <w:left w:val="none" w:sz="0" w:space="0" w:color="auto"/>
                        <w:bottom w:val="none" w:sz="0" w:space="0" w:color="auto"/>
                        <w:right w:val="none" w:sz="0" w:space="0" w:color="auto"/>
                      </w:divBdr>
                      <w:divsChild>
                        <w:div w:id="1119027272">
                          <w:marLeft w:val="0"/>
                          <w:marRight w:val="0"/>
                          <w:marTop w:val="0"/>
                          <w:marBottom w:val="0"/>
                          <w:divBdr>
                            <w:top w:val="none" w:sz="0" w:space="0" w:color="auto"/>
                            <w:left w:val="none" w:sz="0" w:space="0" w:color="auto"/>
                            <w:bottom w:val="none" w:sz="0" w:space="0" w:color="auto"/>
                            <w:right w:val="none" w:sz="0" w:space="0" w:color="auto"/>
                          </w:divBdr>
                          <w:divsChild>
                            <w:div w:id="275798744">
                              <w:marLeft w:val="0"/>
                              <w:marRight w:val="0"/>
                              <w:marTop w:val="0"/>
                              <w:marBottom w:val="0"/>
                              <w:divBdr>
                                <w:top w:val="none" w:sz="0" w:space="0" w:color="auto"/>
                                <w:left w:val="none" w:sz="0" w:space="0" w:color="auto"/>
                                <w:bottom w:val="none" w:sz="0" w:space="0" w:color="auto"/>
                                <w:right w:val="none" w:sz="0" w:space="0" w:color="auto"/>
                              </w:divBdr>
                              <w:divsChild>
                                <w:div w:id="117133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92106">
      <w:bodyDiv w:val="1"/>
      <w:marLeft w:val="0"/>
      <w:marRight w:val="0"/>
      <w:marTop w:val="0"/>
      <w:marBottom w:val="0"/>
      <w:divBdr>
        <w:top w:val="none" w:sz="0" w:space="0" w:color="auto"/>
        <w:left w:val="none" w:sz="0" w:space="0" w:color="auto"/>
        <w:bottom w:val="none" w:sz="0" w:space="0" w:color="auto"/>
        <w:right w:val="none" w:sz="0" w:space="0" w:color="auto"/>
      </w:divBdr>
    </w:div>
    <w:div w:id="1907496719">
      <w:bodyDiv w:val="1"/>
      <w:marLeft w:val="0"/>
      <w:marRight w:val="0"/>
      <w:marTop w:val="0"/>
      <w:marBottom w:val="0"/>
      <w:divBdr>
        <w:top w:val="none" w:sz="0" w:space="0" w:color="auto"/>
        <w:left w:val="none" w:sz="0" w:space="0" w:color="auto"/>
        <w:bottom w:val="none" w:sz="0" w:space="0" w:color="auto"/>
        <w:right w:val="none" w:sz="0" w:space="0" w:color="auto"/>
      </w:divBdr>
      <w:divsChild>
        <w:div w:id="352998747">
          <w:marLeft w:val="0"/>
          <w:marRight w:val="0"/>
          <w:marTop w:val="0"/>
          <w:marBottom w:val="0"/>
          <w:divBdr>
            <w:top w:val="none" w:sz="0" w:space="0" w:color="auto"/>
            <w:left w:val="none" w:sz="0" w:space="0" w:color="auto"/>
            <w:bottom w:val="none" w:sz="0" w:space="0" w:color="auto"/>
            <w:right w:val="none" w:sz="0" w:space="0" w:color="auto"/>
          </w:divBdr>
        </w:div>
      </w:divsChild>
    </w:div>
    <w:div w:id="1964917869">
      <w:bodyDiv w:val="1"/>
      <w:marLeft w:val="0"/>
      <w:marRight w:val="0"/>
      <w:marTop w:val="0"/>
      <w:marBottom w:val="0"/>
      <w:divBdr>
        <w:top w:val="none" w:sz="0" w:space="0" w:color="auto"/>
        <w:left w:val="none" w:sz="0" w:space="0" w:color="auto"/>
        <w:bottom w:val="none" w:sz="0" w:space="0" w:color="auto"/>
        <w:right w:val="none" w:sz="0" w:space="0" w:color="auto"/>
      </w:divBdr>
      <w:divsChild>
        <w:div w:id="285084492">
          <w:marLeft w:val="0"/>
          <w:marRight w:val="0"/>
          <w:marTop w:val="0"/>
          <w:marBottom w:val="0"/>
          <w:divBdr>
            <w:top w:val="none" w:sz="0" w:space="0" w:color="auto"/>
            <w:left w:val="none" w:sz="0" w:space="0" w:color="auto"/>
            <w:bottom w:val="none" w:sz="0" w:space="0" w:color="auto"/>
            <w:right w:val="none" w:sz="0" w:space="0" w:color="auto"/>
          </w:divBdr>
        </w:div>
      </w:divsChild>
    </w:div>
    <w:div w:id="2098550541">
      <w:bodyDiv w:val="1"/>
      <w:marLeft w:val="0"/>
      <w:marRight w:val="0"/>
      <w:marTop w:val="0"/>
      <w:marBottom w:val="0"/>
      <w:divBdr>
        <w:top w:val="none" w:sz="0" w:space="0" w:color="auto"/>
        <w:left w:val="none" w:sz="0" w:space="0" w:color="auto"/>
        <w:bottom w:val="none" w:sz="0" w:space="0" w:color="auto"/>
        <w:right w:val="none" w:sz="0" w:space="0" w:color="auto"/>
      </w:divBdr>
      <w:divsChild>
        <w:div w:id="194076252">
          <w:marLeft w:val="0"/>
          <w:marRight w:val="0"/>
          <w:marTop w:val="0"/>
          <w:marBottom w:val="0"/>
          <w:divBdr>
            <w:top w:val="none" w:sz="0" w:space="0" w:color="auto"/>
            <w:left w:val="none" w:sz="0" w:space="0" w:color="auto"/>
            <w:bottom w:val="none" w:sz="0" w:space="0" w:color="auto"/>
            <w:right w:val="none" w:sz="0" w:space="0" w:color="auto"/>
          </w:divBdr>
        </w:div>
      </w:divsChild>
    </w:div>
    <w:div w:id="2100369670">
      <w:bodyDiv w:val="1"/>
      <w:marLeft w:val="0"/>
      <w:marRight w:val="0"/>
      <w:marTop w:val="0"/>
      <w:marBottom w:val="0"/>
      <w:divBdr>
        <w:top w:val="none" w:sz="0" w:space="0" w:color="auto"/>
        <w:left w:val="none" w:sz="0" w:space="0" w:color="auto"/>
        <w:bottom w:val="none" w:sz="0" w:space="0" w:color="auto"/>
        <w:right w:val="none" w:sz="0" w:space="0" w:color="auto"/>
      </w:divBdr>
    </w:div>
    <w:div w:id="2115394317">
      <w:bodyDiv w:val="1"/>
      <w:marLeft w:val="0"/>
      <w:marRight w:val="0"/>
      <w:marTop w:val="0"/>
      <w:marBottom w:val="0"/>
      <w:divBdr>
        <w:top w:val="none" w:sz="0" w:space="0" w:color="auto"/>
        <w:left w:val="none" w:sz="0" w:space="0" w:color="auto"/>
        <w:bottom w:val="none" w:sz="0" w:space="0" w:color="auto"/>
        <w:right w:val="none" w:sz="0" w:space="0" w:color="auto"/>
      </w:divBdr>
      <w:divsChild>
        <w:div w:id="774207229">
          <w:marLeft w:val="0"/>
          <w:marRight w:val="0"/>
          <w:marTop w:val="0"/>
          <w:marBottom w:val="0"/>
          <w:divBdr>
            <w:top w:val="none" w:sz="0" w:space="0" w:color="auto"/>
            <w:left w:val="none" w:sz="0" w:space="0" w:color="auto"/>
            <w:bottom w:val="none" w:sz="0" w:space="0" w:color="auto"/>
            <w:right w:val="none" w:sz="0" w:space="0" w:color="auto"/>
          </w:divBdr>
        </w:div>
      </w:divsChild>
    </w:div>
    <w:div w:id="2120560105">
      <w:bodyDiv w:val="1"/>
      <w:marLeft w:val="0"/>
      <w:marRight w:val="0"/>
      <w:marTop w:val="0"/>
      <w:marBottom w:val="0"/>
      <w:divBdr>
        <w:top w:val="none" w:sz="0" w:space="0" w:color="auto"/>
        <w:left w:val="none" w:sz="0" w:space="0" w:color="auto"/>
        <w:bottom w:val="none" w:sz="0" w:space="0" w:color="auto"/>
        <w:right w:val="none" w:sz="0" w:space="0" w:color="auto"/>
      </w:divBdr>
      <w:divsChild>
        <w:div w:id="8859188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iel/Downloads/Econ%20&amp;%20MH%20v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1DBB8-5CDF-C04D-B382-858D62BDA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Econ &amp; MH v3.dotx</Template>
  <TotalTime>78</TotalTime>
  <Pages>3</Pages>
  <Words>1377</Words>
  <Characters>7811</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Nathaniel Counts</cp:lastModifiedBy>
  <cp:revision>7</cp:revision>
  <cp:lastPrinted>2025-02-14T16:27:00Z</cp:lastPrinted>
  <dcterms:created xsi:type="dcterms:W3CDTF">2026-07-20T12:43:00Z</dcterms:created>
  <dcterms:modified xsi:type="dcterms:W3CDTF">2026-07-20T20:37:00Z</dcterms:modified>
</cp:coreProperties>
</file>