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80" w:before="0"/>
        <w:jc w:val="center"/>
      </w:pPr>
      <w:r>
        <w:rPr>
          <w:rFonts w:ascii="Calibri" w:cs="Calibri" w:eastAsia="Calibri" w:hAnsi="Calibri"/>
          <w:b/>
          <w:bCs/>
          <w:color w:val="1B2A4A"/>
          <w:sz w:val="32"/>
          <w:szCs w:val="32"/>
        </w:rPr>
        <w:t xml:space="preserve">DARA</w:t>
      </w:r>
    </w:p>
    <w:p>
      <w:pPr>
        <w:spacing w:after="60" w:before="0"/>
        <w:jc w:val="center"/>
      </w:pPr>
      <w:r>
        <w:rPr>
          <w:rFonts w:ascii="Calibri" w:cs="Calibri" w:eastAsia="Calibri" w:hAnsi="Calibri"/>
          <w:i/>
          <w:iCs/>
          <w:color w:val="4A4A4A"/>
          <w:sz w:val="22"/>
          <w:szCs w:val="22"/>
        </w:rPr>
        <w:t xml:space="preserve">Document Analysis for Response Assessment</w:t>
      </w:r>
    </w:p>
    <w:p>
      <w:pPr>
        <w:spacing w:before="80"/>
      </w:pPr>
    </w:p>
    <w:p>
      <w:pPr>
        <w:spacing w:after="80" w:before="0"/>
        <w:jc w:val="center"/>
      </w:pPr>
      <w:r>
        <w:rPr>
          <w:rFonts w:ascii="Calibri" w:cs="Calibri" w:eastAsia="Calibri" w:hAnsi="Calibri"/>
          <w:b/>
          <w:bCs/>
          <w:color w:val="1B2A4A"/>
          <w:sz w:val="28"/>
          <w:szCs w:val="28"/>
        </w:rPr>
        <w:t xml:space="preserve">TERMS OF SERVICE</w:t>
      </w:r>
    </w:p>
    <w:p>
      <w:pPr>
        <w:spacing w:after="60" w:before="0"/>
        <w:jc w:val="center"/>
      </w:pPr>
      <w:r>
        <w:rPr>
          <w:rFonts w:ascii="Calibri" w:cs="Calibri" w:eastAsia="Calibri" w:hAnsi="Calibri"/>
          <w:i/>
          <w:iCs/>
          <w:color w:val="4A4A4A"/>
          <w:sz w:val="20"/>
          <w:szCs w:val="20"/>
        </w:rPr>
        <w:t xml:space="preserve">Version 1.0  |  Effective July 7, 2026</w:t>
      </w:r>
    </w:p>
    <w:p>
      <w:pPr>
        <w:spacing w:after="60" w:before="0"/>
        <w:jc w:val="center"/>
      </w:pPr>
      <w:r>
        <w:rPr>
          <w:rFonts w:ascii="Calibri" w:cs="Calibri" w:eastAsia="Calibri" w:hAnsi="Calibri"/>
          <w:i/>
          <w:iCs/>
          <w:color w:val="4A4A4A"/>
          <w:sz w:val="20"/>
          <w:szCs w:val="20"/>
        </w:rPr>
        <w:t xml:space="preserve">The Daniel Group LLC d/b/a Crucible Insight</w:t>
      </w:r>
    </w:p>
    <w:p>
      <w:pPr>
        <w:pBdr>
          <w:bottom w:val="single" w:color="B8960C" w:sz="6"/>
        </w:pBdr>
        <w:spacing w:after="200" w:before="200"/>
      </w:pPr>
    </w:p>
    <w:p>
      <w:pPr>
        <w:spacing w:before="80"/>
      </w:pPr>
    </w:p>
    <w:p>
      <w:pPr>
        <w:spacing w:after="100" w:before="80"/>
        <w:jc w:val="both"/>
      </w:pPr>
      <w:r>
        <w:rPr>
          <w:rFonts w:ascii="Calibri" w:cs="Calibri" w:eastAsia="Calibri" w:hAnsi="Calibri"/>
          <w:b w:val="false"/>
          <w:bCs w:val="false"/>
          <w:i w:val="false"/>
          <w:iCs w:val="false"/>
          <w:color w:val="000000"/>
          <w:sz w:val="20"/>
          <w:szCs w:val="20"/>
        </w:rPr>
        <w:t xml:space="preserve">These Terms of Service ("Agreement") constitute a legally binding contract between The Daniel Group LLC, an Arizona limited liability company doing business as Crucible Insight ("Crucible Insight," "we," "us," or "our"), and the individual or entity ("User," "you," or "your") accessing or using the DARA — Document Analysis for Response Assessment platform ("DARA" or the "Service") available at dara.crucibleinsight.com and any associated APIs or integrations. BY CREATING AN ACCOUNT, CLICKING "I AGREE," OR OTHERWISE ACCESSING THE SERVICE, YOU AGREE TO BE BOUND BY THIS AGREEMENT IN ITS ENTIRETY. IF YOU DO NOT AGREE, DO NOT ACCESS OR USE THE SERVICE.</w:t>
      </w:r>
    </w:p>
    <w:p>
      <w:pPr>
        <w:spacing w:before="80"/>
      </w:pPr>
    </w:p>
    <w:p>
      <w:pPr>
        <w:pStyle w:val="Heading1"/>
        <w:spacing w:after="120" w:before="360"/>
      </w:pPr>
      <w:r>
        <w:rPr>
          <w:rFonts w:ascii="Calibri" w:cs="Calibri" w:eastAsia="Calibri" w:hAnsi="Calibri"/>
          <w:b/>
          <w:bCs/>
          <w:color w:val="1B2A4A"/>
          <w:sz w:val="28"/>
          <w:szCs w:val="28"/>
        </w:rPr>
        <w:t xml:space="preserve">1. DEFINITIONS</w:t>
      </w:r>
    </w:p>
    <w:p>
      <w:pPr>
        <w:spacing w:after="100" w:before="80"/>
        <w:jc w:val="both"/>
      </w:pPr>
      <w:r>
        <w:rPr>
          <w:rFonts w:ascii="Calibri" w:cs="Calibri" w:eastAsia="Calibri" w:hAnsi="Calibri"/>
          <w:b/>
          <w:bCs/>
          <w:color w:val="000000"/>
          <w:sz w:val="20"/>
          <w:szCs w:val="20"/>
        </w:rPr>
        <w:t xml:space="preserve">"Affiliate"</w:t>
      </w:r>
      <w:r>
        <w:rPr>
          <w:rFonts w:ascii="Calibri" w:cs="Calibri" w:eastAsia="Calibri" w:hAnsi="Calibri"/>
          <w:color w:val="000000"/>
          <w:sz w:val="20"/>
          <w:szCs w:val="20"/>
        </w:rPr>
        <w:t xml:space="preserve"> means any entity that directly or indirectly controls, is controlled by, or is under common control with a party.</w:t>
      </w:r>
    </w:p>
    <w:p>
      <w:pPr>
        <w:spacing w:after="100" w:before="80"/>
        <w:jc w:val="both"/>
      </w:pPr>
      <w:r>
        <w:rPr>
          <w:rFonts w:ascii="Calibri" w:cs="Calibri" w:eastAsia="Calibri" w:hAnsi="Calibri"/>
          <w:b/>
          <w:bCs/>
          <w:color w:val="000000"/>
          <w:sz w:val="20"/>
          <w:szCs w:val="20"/>
        </w:rPr>
        <w:t xml:space="preserve">"Authorized User"</w:t>
      </w:r>
      <w:r>
        <w:rPr>
          <w:rFonts w:ascii="Calibri" w:cs="Calibri" w:eastAsia="Calibri" w:hAnsi="Calibri"/>
          <w:color w:val="000000"/>
          <w:sz w:val="20"/>
          <w:szCs w:val="20"/>
        </w:rPr>
        <w:t xml:space="preserve"> means any individual who accesses the Service under a User account. Actions taken by any Authorized User are deemed actions of the User entity and that entity bears full responsibility for such actions.</w:t>
      </w:r>
    </w:p>
    <w:p>
      <w:pPr>
        <w:spacing w:after="100" w:before="80"/>
        <w:jc w:val="both"/>
      </w:pPr>
      <w:r>
        <w:rPr>
          <w:rFonts w:ascii="Calibri" w:cs="Calibri" w:eastAsia="Calibri" w:hAnsi="Calibri"/>
          <w:b/>
          <w:bCs/>
          <w:color w:val="000000"/>
          <w:sz w:val="20"/>
          <w:szCs w:val="20"/>
        </w:rPr>
        <w:t xml:space="preserve">"Controlled Unclassified Information" or "CUI"</w:t>
      </w:r>
      <w:r>
        <w:rPr>
          <w:rFonts w:ascii="Calibri" w:cs="Calibri" w:eastAsia="Calibri" w:hAnsi="Calibri"/>
          <w:color w:val="000000"/>
          <w:sz w:val="20"/>
          <w:szCs w:val="20"/>
        </w:rPr>
        <w:t xml:space="preserve"> means information the United States Government creates or possesses, or that an entity creates or possesses for or on behalf of the Government, that a law, regulation, or Government-wide policy requires or permits an agency to handle using safeguarding or dissemination controls, as defined by Executive Order 13556 and 32 C.F.R. Part 2002, and including all categories listed in the NARA CUI Registry.</w:t>
      </w:r>
    </w:p>
    <w:p>
      <w:pPr>
        <w:spacing w:after="100" w:before="80"/>
        <w:jc w:val="both"/>
      </w:pPr>
      <w:r>
        <w:rPr>
          <w:rFonts w:ascii="Calibri" w:cs="Calibri" w:eastAsia="Calibri" w:hAnsi="Calibri"/>
          <w:b/>
          <w:bCs/>
          <w:color w:val="000000"/>
          <w:sz w:val="20"/>
          <w:szCs w:val="20"/>
        </w:rPr>
        <w:t xml:space="preserve">"DARA Commercial Environment"</w:t>
      </w:r>
      <w:r>
        <w:rPr>
          <w:rFonts w:ascii="Calibri" w:cs="Calibri" w:eastAsia="Calibri" w:hAnsi="Calibri"/>
          <w:color w:val="000000"/>
          <w:sz w:val="20"/>
          <w:szCs w:val="20"/>
        </w:rPr>
        <w:t xml:space="preserve"> means the production infrastructure on which the Service operates, including application servers, databases, APIs, and any third-party cloud services used by Crucible Insight to deliver the Service, excluding any User-controlled CUI enclave.</w:t>
      </w:r>
    </w:p>
    <w:p>
      <w:pPr>
        <w:spacing w:after="100" w:before="80"/>
        <w:jc w:val="both"/>
      </w:pPr>
      <w:r>
        <w:rPr>
          <w:rFonts w:ascii="Calibri" w:cs="Calibri" w:eastAsia="Calibri" w:hAnsi="Calibri"/>
          <w:b/>
          <w:bCs/>
          <w:color w:val="000000"/>
          <w:sz w:val="20"/>
          <w:szCs w:val="20"/>
        </w:rPr>
        <w:t xml:space="preserve">"Federal Contract Information" or "FCI"</w:t>
      </w:r>
      <w:r>
        <w:rPr>
          <w:rFonts w:ascii="Calibri" w:cs="Calibri" w:eastAsia="Calibri" w:hAnsi="Calibri"/>
          <w:color w:val="000000"/>
          <w:sz w:val="20"/>
          <w:szCs w:val="20"/>
        </w:rPr>
        <w:t xml:space="preserve"> means information, not intended for public release, that is provided by or generated for the Government under a contract to develop or deliver a product or service to the Government, as defined at FAR 52.204-21.</w:t>
      </w:r>
    </w:p>
    <w:p>
      <w:pPr>
        <w:spacing w:after="100" w:before="80"/>
        <w:jc w:val="both"/>
      </w:pPr>
      <w:r>
        <w:rPr>
          <w:rFonts w:ascii="Calibri" w:cs="Calibri" w:eastAsia="Calibri" w:hAnsi="Calibri"/>
          <w:b/>
          <w:bCs/>
          <w:color w:val="000000"/>
          <w:sz w:val="20"/>
          <w:szCs w:val="20"/>
        </w:rPr>
        <w:t xml:space="preserve">"Output"</w:t>
      </w:r>
      <w:r>
        <w:rPr>
          <w:rFonts w:ascii="Calibri" w:cs="Calibri" w:eastAsia="Calibri" w:hAnsi="Calibri"/>
          <w:color w:val="000000"/>
          <w:sz w:val="20"/>
          <w:szCs w:val="20"/>
        </w:rPr>
        <w:t xml:space="preserve"> means any analysis, score, recommendation, annotation, flag, report, or other result generated by DARA in response to User-submitted Input.</w:t>
      </w:r>
    </w:p>
    <w:p>
      <w:pPr>
        <w:spacing w:after="100" w:before="80"/>
        <w:jc w:val="both"/>
      </w:pPr>
      <w:r>
        <w:rPr>
          <w:rFonts w:ascii="Calibri" w:cs="Calibri" w:eastAsia="Calibri" w:hAnsi="Calibri"/>
          <w:b/>
          <w:bCs/>
          <w:color w:val="000000"/>
          <w:sz w:val="20"/>
          <w:szCs w:val="20"/>
        </w:rPr>
        <w:t xml:space="preserve">"Input"</w:t>
      </w:r>
      <w:r>
        <w:rPr>
          <w:rFonts w:ascii="Calibri" w:cs="Calibri" w:eastAsia="Calibri" w:hAnsi="Calibri"/>
          <w:color w:val="000000"/>
          <w:sz w:val="20"/>
          <w:szCs w:val="20"/>
        </w:rPr>
        <w:t xml:space="preserve"> means any document, text, data, or content submitted to the Service by a User, whether by direct upload, manual entry, or API-based retrieval from a third-party source such as Microsoft SharePoint or Google Drive.</w:t>
      </w:r>
    </w:p>
    <w:p>
      <w:pPr>
        <w:spacing w:after="100" w:before="80"/>
        <w:jc w:val="both"/>
      </w:pPr>
      <w:r>
        <w:rPr>
          <w:rFonts w:ascii="Calibri" w:cs="Calibri" w:eastAsia="Calibri" w:hAnsi="Calibri"/>
          <w:b/>
          <w:bCs/>
          <w:color w:val="000000"/>
          <w:sz w:val="20"/>
          <w:szCs w:val="20"/>
        </w:rPr>
        <w:t xml:space="preserve">"User Content"</w:t>
      </w:r>
      <w:r>
        <w:rPr>
          <w:rFonts w:ascii="Calibri" w:cs="Calibri" w:eastAsia="Calibri" w:hAnsi="Calibri"/>
          <w:color w:val="000000"/>
          <w:sz w:val="20"/>
          <w:szCs w:val="20"/>
        </w:rPr>
        <w:t xml:space="preserve"> means all Input and all data derived from Input that is attributable to a specific User or User entity.</w:t>
      </w:r>
    </w:p>
    <w:p>
      <w:pPr>
        <w:spacing w:before="80"/>
      </w:pPr>
    </w:p>
    <w:p>
      <w:pPr>
        <w:pStyle w:val="Heading1"/>
        <w:spacing w:after="120" w:before="360"/>
      </w:pPr>
      <w:r>
        <w:rPr>
          <w:rFonts w:ascii="Calibri" w:cs="Calibri" w:eastAsia="Calibri" w:hAnsi="Calibri"/>
          <w:b/>
          <w:bCs/>
          <w:color w:val="1B2A4A"/>
          <w:sz w:val="28"/>
          <w:szCs w:val="28"/>
        </w:rPr>
        <w:t xml:space="preserve">2. ACCOUNT REGISTRATION AND SECURITY</w:t>
      </w:r>
    </w:p>
    <w:p>
      <w:pPr>
        <w:pStyle w:val="Heading2"/>
        <w:spacing w:after="80" w:before="240"/>
      </w:pPr>
      <w:r>
        <w:rPr>
          <w:rFonts w:ascii="Calibri" w:cs="Calibri" w:eastAsia="Calibri" w:hAnsi="Calibri"/>
          <w:b/>
          <w:bCs/>
          <w:color w:val="1B2A4A"/>
          <w:sz w:val="24"/>
          <w:szCs w:val="24"/>
        </w:rPr>
        <w:t xml:space="preserve">2.1 Account Creation</w:t>
      </w:r>
    </w:p>
    <w:p>
      <w:pPr>
        <w:spacing w:after="100" w:before="80"/>
        <w:jc w:val="both"/>
      </w:pPr>
      <w:r>
        <w:rPr>
          <w:rFonts w:ascii="Calibri" w:cs="Calibri" w:eastAsia="Calibri" w:hAnsi="Calibri"/>
          <w:b w:val="false"/>
          <w:bCs w:val="false"/>
          <w:i w:val="false"/>
          <w:iCs w:val="false"/>
          <w:color w:val="000000"/>
          <w:sz w:val="20"/>
          <w:szCs w:val="20"/>
        </w:rPr>
        <w:t xml:space="preserve">You must register for an account to access the Service. You agree to provide accurate, current, and complete information during registration and to keep such information updated. Crucible Insight reserves the right to refuse registration or terminate accounts at its sole discretion.</w:t>
      </w:r>
    </w:p>
    <w:p>
      <w:pPr>
        <w:pStyle w:val="Heading2"/>
        <w:spacing w:after="80" w:before="240"/>
      </w:pPr>
      <w:r>
        <w:rPr>
          <w:rFonts w:ascii="Calibri" w:cs="Calibri" w:eastAsia="Calibri" w:hAnsi="Calibri"/>
          <w:b/>
          <w:bCs/>
          <w:color w:val="1B2A4A"/>
          <w:sz w:val="24"/>
          <w:szCs w:val="24"/>
        </w:rPr>
        <w:t xml:space="preserve">2.2 Authentication Requirements</w:t>
      </w:r>
    </w:p>
    <w:p>
      <w:pPr>
        <w:spacing w:after="100" w:before="80"/>
        <w:jc w:val="both"/>
      </w:pPr>
      <w:r>
        <w:rPr>
          <w:rFonts w:ascii="Calibri" w:cs="Calibri" w:eastAsia="Calibri" w:hAnsi="Calibri"/>
          <w:b w:val="false"/>
          <w:bCs w:val="false"/>
          <w:i w:val="false"/>
          <w:iCs w:val="false"/>
          <w:color w:val="000000"/>
          <w:sz w:val="20"/>
          <w:szCs w:val="20"/>
        </w:rPr>
        <w:t xml:space="preserve">Access to the Service requires email-and-password authentication combined with two-factor authentication (2FA). You are responsible for maintaining the confidentiality of your credentials. You accept full responsibility for all activity conducted under your account.</w:t>
      </w:r>
    </w:p>
    <w:p>
      <w:pPr>
        <w:pStyle w:val="Heading2"/>
        <w:spacing w:after="80" w:before="240"/>
      </w:pPr>
      <w:r>
        <w:rPr>
          <w:rFonts w:ascii="Calibri" w:cs="Calibri" w:eastAsia="Calibri" w:hAnsi="Calibri"/>
          <w:b/>
          <w:bCs/>
          <w:color w:val="1B2A4A"/>
          <w:sz w:val="24"/>
          <w:szCs w:val="24"/>
        </w:rPr>
        <w:t xml:space="preserve">2.3 Corporate Accounts</w:t>
      </w:r>
    </w:p>
    <w:p>
      <w:pPr>
        <w:spacing w:after="100" w:before="80"/>
        <w:jc w:val="both"/>
      </w:pPr>
      <w:r>
        <w:rPr>
          <w:rFonts w:ascii="Calibri" w:cs="Calibri" w:eastAsia="Calibri" w:hAnsi="Calibri"/>
          <w:b w:val="false"/>
          <w:bCs w:val="false"/>
          <w:i w:val="false"/>
          <w:iCs w:val="false"/>
          <w:color w:val="000000"/>
          <w:sz w:val="20"/>
          <w:szCs w:val="20"/>
        </w:rPr>
        <w:t xml:space="preserve">Where a User registers on behalf of a legal entity, that entity and all individuals accessing the Service under that account are jointly and severally bound by this Agreement. The registering individual represents and warrants that they have authority to bind the entity. Employee or personnel actions taken within the Service are attributed to the entity and the entity assumes all associated liability.</w:t>
      </w:r>
    </w:p>
    <w:p>
      <w:pPr>
        <w:spacing w:before="80"/>
      </w:pPr>
    </w:p>
    <w:p>
      <w:pPr>
        <w:pStyle w:val="Heading1"/>
        <w:spacing w:after="120" w:before="360"/>
      </w:pPr>
      <w:r>
        <w:rPr>
          <w:rFonts w:ascii="Calibri" w:cs="Calibri" w:eastAsia="Calibri" w:hAnsi="Calibri"/>
          <w:b/>
          <w:bCs/>
          <w:color w:val="1B2A4A"/>
          <w:sz w:val="28"/>
          <w:szCs w:val="28"/>
        </w:rPr>
        <w:t xml:space="preserve">3. BRING YOUR OWN KEY (BYOK) AND CUI EXCLUSION</w:t>
      </w:r>
    </w:p>
    <w:p>
      <w:pPr>
        <w:pStyle w:val="Heading2"/>
        <w:spacing w:after="80" w:before="240"/>
      </w:pPr>
      <w:r>
        <w:rPr>
          <w:rFonts w:ascii="Calibri" w:cs="Calibri" w:eastAsia="Calibri" w:hAnsi="Calibri"/>
          <w:b/>
          <w:bCs/>
          <w:color w:val="1B2A4A"/>
          <w:sz w:val="24"/>
          <w:szCs w:val="24"/>
        </w:rPr>
        <w:t xml:space="preserve">3.1 DARA is Not a CUI Enclave</w:t>
      </w:r>
    </w:p>
    <w:p>
      <w:pPr>
        <w:spacing w:after="100" w:before="80"/>
        <w:jc w:val="both"/>
      </w:pPr>
      <w:r>
        <w:rPr>
          <w:rFonts w:ascii="Calibri" w:cs="Calibri" w:eastAsia="Calibri" w:hAnsi="Calibri"/>
          <w:b w:val="false"/>
          <w:bCs w:val="false"/>
          <w:i w:val="false"/>
          <w:iCs w:val="false"/>
          <w:color w:val="000000"/>
          <w:sz w:val="20"/>
          <w:szCs w:val="20"/>
        </w:rPr>
        <w:t xml:space="preserve">THE DARA COMMERCIAL ENVIRONMENT IS NOT, AND SHALL NOT BE DEEMED, A CONTROLLED UNCLASSIFIED INFORMATION ENCLAVE, A FedRAMP-AUTHORIZED CLOUD SERVICE OFFERING, OR A CMMC-SCOPED INFORMATION SYSTEM FOR ANY PURPOSE UNDER APPLICABLE FEDERAL LAW, REGULATION, DFARS CLAUSE 252.204-7012, 32 C.F.R. PART 170, OR ANY SUCCESSOR REQUIREMENT. THIS EXCLUSION IS ABSOLUTE AND APPLIES IN ALL CIRCUMSTANCES, INCLUDING WHERE A USER ACTIVATES ANY BRING YOUR OWN KEY (BYOK) FEATURE.</w:t>
      </w:r>
    </w:p>
    <w:p>
      <w:pPr>
        <w:pStyle w:val="Heading2"/>
        <w:spacing w:after="80" w:before="240"/>
      </w:pPr>
      <w:r>
        <w:rPr>
          <w:rFonts w:ascii="Calibri" w:cs="Calibri" w:eastAsia="Calibri" w:hAnsi="Calibri"/>
          <w:b/>
          <w:bCs/>
          <w:color w:val="1B2A4A"/>
          <w:sz w:val="24"/>
          <w:szCs w:val="24"/>
        </w:rPr>
        <w:t xml:space="preserve">3.2 BYOK Does Not Alter Compliance Status</w:t>
      </w:r>
    </w:p>
    <w:p>
      <w:pPr>
        <w:spacing w:after="100" w:before="80"/>
        <w:jc w:val="both"/>
      </w:pPr>
      <w:r>
        <w:rPr>
          <w:rFonts w:ascii="Calibri" w:cs="Calibri" w:eastAsia="Calibri" w:hAnsi="Calibri"/>
          <w:b w:val="false"/>
          <w:bCs w:val="false"/>
          <w:i w:val="false"/>
          <w:iCs w:val="false"/>
          <w:color w:val="000000"/>
          <w:sz w:val="20"/>
          <w:szCs w:val="20"/>
        </w:rPr>
        <w:t xml:space="preserve">The BYOK feature, when available, permits Users to supply their own encryption keys to protect data at rest within the DARA Commercial Environment. Activation of BYOK does not: (a) cause the DARA Commercial Environment to satisfy FedRAMP Moderate baseline requirements; (b) bring the Service within the scope of any CMMC assessment boundary; (c) constitute a CUI safeguarding measure sufficient to meet obligations under DFARS 252.204-7012 or 32 C.F.R. Part 170; or (d) transfer compliance obligations from the User to Crucible Insight. The User acknowledges that encryption key custody does not determine CUI boundary status and that processing of CUI on the DARA Commercial Environment remains the User's sole compliance responsibility.</w:t>
      </w:r>
    </w:p>
    <w:p>
      <w:pPr>
        <w:pStyle w:val="Heading2"/>
        <w:spacing w:after="80" w:before="240"/>
      </w:pPr>
      <w:r>
        <w:rPr>
          <w:rFonts w:ascii="Calibri" w:cs="Calibri" w:eastAsia="Calibri" w:hAnsi="Calibri"/>
          <w:b/>
          <w:bCs/>
          <w:color w:val="1B2A4A"/>
          <w:sz w:val="24"/>
          <w:szCs w:val="24"/>
        </w:rPr>
        <w:t xml:space="preserve">3.3 Prohibition on CUI and FCI Submission</w:t>
      </w:r>
    </w:p>
    <w:p>
      <w:pPr>
        <w:spacing w:after="100" w:before="80"/>
        <w:jc w:val="both"/>
      </w:pPr>
      <w:r>
        <w:rPr>
          <w:rFonts w:ascii="Calibri" w:cs="Calibri" w:eastAsia="Calibri" w:hAnsi="Calibri"/>
          <w:b w:val="false"/>
          <w:bCs w:val="false"/>
          <w:i w:val="false"/>
          <w:iCs w:val="false"/>
          <w:color w:val="000000"/>
          <w:sz w:val="20"/>
          <w:szCs w:val="20"/>
        </w:rPr>
        <w:t xml:space="preserve">You are expressly prohibited from submitting, uploading, transmitting, or causing to be transmitted to the DARA Commercial Environment any information that constitutes or contains CUI or FCI. This prohibition applies regardless of: (a) the method of submission, including direct upload, manual entry, or API-based retrieval from SharePoint, Google Drive, or any other third-party platform; (b) whether the information is marked or unmarked; (c) whether BYOK is activated; or (d) any other technical or contractual measure employed by the User.</w:t>
      </w:r>
    </w:p>
    <w:p>
      <w:pPr>
        <w:pStyle w:val="Heading2"/>
        <w:spacing w:after="80" w:before="240"/>
      </w:pPr>
      <w:r>
        <w:rPr>
          <w:rFonts w:ascii="Calibri" w:cs="Calibri" w:eastAsia="Calibri" w:hAnsi="Calibri"/>
          <w:b/>
          <w:bCs/>
          <w:color w:val="1B2A4A"/>
          <w:sz w:val="24"/>
          <w:szCs w:val="24"/>
        </w:rPr>
        <w:t xml:space="preserve">3.4 User Acknowledgment</w:t>
      </w:r>
    </w:p>
    <w:p>
      <w:pPr>
        <w:spacing w:after="100" w:before="80"/>
        <w:jc w:val="both"/>
      </w:pPr>
      <w:r>
        <w:rPr>
          <w:rFonts w:ascii="Calibri" w:cs="Calibri" w:eastAsia="Calibri" w:hAnsi="Calibri"/>
          <w:b w:val="false"/>
          <w:bCs w:val="false"/>
          <w:i w:val="false"/>
          <w:iCs w:val="false"/>
          <w:color w:val="000000"/>
          <w:sz w:val="20"/>
          <w:szCs w:val="20"/>
        </w:rPr>
        <w:t xml:space="preserve">By accessing the Service, you affirmatively acknowledge and represent that: (a) you understand that the DARA Commercial Environment does not satisfy the requirements for a CUI enclave; (b) you will not submit CUI or FCI to the Service; (c) you bear sole responsibility for ensuring that any content submitted to the Service has been reviewed and confirmed to be free of CUI and FCI prior to submission; and (d) you will implement and maintain your own systems and procedures sufficient to satisfy any applicable CMMC, DFARS, or FAR cybersecurity obligations arising from your contracts.</w:t>
      </w:r>
    </w:p>
    <w:p>
      <w:pPr>
        <w:pStyle w:val="Heading2"/>
        <w:spacing w:after="80" w:before="240"/>
      </w:pPr>
      <w:r>
        <w:rPr>
          <w:rFonts w:ascii="Calibri" w:cs="Calibri" w:eastAsia="Calibri" w:hAnsi="Calibri"/>
          <w:b/>
          <w:bCs/>
          <w:color w:val="1B2A4A"/>
          <w:sz w:val="24"/>
          <w:szCs w:val="24"/>
        </w:rPr>
        <w:t xml:space="preserve">3.5 SharePoint and Google Drive Integration</w:t>
      </w:r>
    </w:p>
    <w:p>
      <w:pPr>
        <w:spacing w:after="100" w:before="80"/>
        <w:jc w:val="both"/>
      </w:pPr>
      <w:r>
        <w:rPr>
          <w:rFonts w:ascii="Calibri" w:cs="Calibri" w:eastAsia="Calibri" w:hAnsi="Calibri"/>
          <w:b w:val="false"/>
          <w:bCs w:val="false"/>
          <w:i w:val="false"/>
          <w:iCs w:val="false"/>
          <w:color w:val="000000"/>
          <w:sz w:val="20"/>
          <w:szCs w:val="20"/>
        </w:rPr>
        <w:t xml:space="preserve">Where Users employ the Service's integration capabilities to retrieve content from Microsoft SharePoint, Google Drive, or any other third-party platform, the User is solely responsible for ensuring that content retrieved and transmitted to the DARA Commercial Environment does not contain CUI or FCI. The existence of a prior integration authorization does not constitute permission to transmit CUI to the Service and does not alter the exclusion set forth in Section 3.1.</w:t>
      </w:r>
    </w:p>
    <w:p>
      <w:pPr>
        <w:spacing w:before="80"/>
      </w:pPr>
    </w:p>
    <w:p>
      <w:pPr>
        <w:pStyle w:val="Heading1"/>
        <w:spacing w:after="120" w:before="360"/>
      </w:pPr>
      <w:r>
        <w:rPr>
          <w:rFonts w:ascii="Calibri" w:cs="Calibri" w:eastAsia="Calibri" w:hAnsi="Calibri"/>
          <w:b/>
          <w:bCs/>
          <w:color w:val="1B2A4A"/>
          <w:sz w:val="28"/>
          <w:szCs w:val="28"/>
        </w:rPr>
        <w:t xml:space="preserve">4. ANALYTICAL TOOL — DISCLAIMER OF ACCURACY AND COMPLIANCE GUARANTEE</w:t>
      </w:r>
    </w:p>
    <w:p>
      <w:pPr>
        <w:pStyle w:val="Heading2"/>
        <w:spacing w:after="80" w:before="240"/>
      </w:pPr>
      <w:r>
        <w:rPr>
          <w:rFonts w:ascii="Calibri" w:cs="Calibri" w:eastAsia="Calibri" w:hAnsi="Calibri"/>
          <w:b/>
          <w:bCs/>
          <w:color w:val="1B2A4A"/>
          <w:sz w:val="24"/>
          <w:szCs w:val="24"/>
        </w:rPr>
        <w:t xml:space="preserve">4.1 Nature of the Service</w:t>
      </w:r>
    </w:p>
    <w:p>
      <w:pPr>
        <w:spacing w:after="100" w:before="80"/>
        <w:jc w:val="both"/>
      </w:pPr>
      <w:r>
        <w:rPr>
          <w:rFonts w:ascii="Calibri" w:cs="Calibri" w:eastAsia="Calibri" w:hAnsi="Calibri"/>
          <w:b w:val="false"/>
          <w:bCs w:val="false"/>
          <w:i w:val="false"/>
          <w:iCs w:val="false"/>
          <w:color w:val="000000"/>
          <w:sz w:val="20"/>
          <w:szCs w:val="20"/>
        </w:rPr>
        <w:t xml:space="preserve">DARA is an analytical tool that provides data points to assist Users in the preparation and review of government contract proposals, past performance documentation, and related materials. DARA does not constitute legal advice, compliance certification, or a guarantee of any outcome.</w:t>
      </w:r>
    </w:p>
    <w:p>
      <w:pPr>
        <w:pStyle w:val="Heading2"/>
        <w:spacing w:after="80" w:before="240"/>
      </w:pPr>
      <w:r>
        <w:rPr>
          <w:rFonts w:ascii="Calibri" w:cs="Calibri" w:eastAsia="Calibri" w:hAnsi="Calibri"/>
          <w:b/>
          <w:bCs/>
          <w:color w:val="1B2A4A"/>
          <w:sz w:val="24"/>
          <w:szCs w:val="24"/>
        </w:rPr>
        <w:t xml:space="preserve">4.2 No Accuracy Guarantee</w:t>
      </w:r>
    </w:p>
    <w:p>
      <w:pPr>
        <w:spacing w:after="100" w:before="80"/>
        <w:jc w:val="both"/>
      </w:pPr>
      <w:r>
        <w:rPr>
          <w:rFonts w:ascii="Calibri" w:cs="Calibri" w:eastAsia="Calibri" w:hAnsi="Calibri"/>
          <w:b w:val="false"/>
          <w:bCs w:val="false"/>
          <w:i w:val="false"/>
          <w:iCs w:val="false"/>
          <w:color w:val="000000"/>
          <w:sz w:val="20"/>
          <w:szCs w:val="20"/>
        </w:rPr>
        <w:t xml:space="preserve">CRUCIBLE INSIGHT MAKES NO REPRESENTATION OR WARRANTY, EXPRESS OR IMPLIED, REGARDING THE ACCURACY, COMPLETENESS, CURRENTNESS, OR FITNESS FOR A PARTICULAR PURPOSE OF ANY OUTPUT GENERATED BY THE SERVICE. OUTPUTS ARE PROVIDED AS INFORMATIONAL DATA POINTS ONLY. THE USER IS SOLELY RESPONSIBLE FOR INDEPENDENTLY VERIFYING ANY OUTPUT BEFORE RELYING UPON IT.</w:t>
      </w:r>
    </w:p>
    <w:p>
      <w:pPr>
        <w:pStyle w:val="Heading2"/>
        <w:spacing w:after="80" w:before="240"/>
      </w:pPr>
      <w:r>
        <w:rPr>
          <w:rFonts w:ascii="Calibri" w:cs="Calibri" w:eastAsia="Calibri" w:hAnsi="Calibri"/>
          <w:b/>
          <w:bCs/>
          <w:color w:val="1B2A4A"/>
          <w:sz w:val="24"/>
          <w:szCs w:val="24"/>
        </w:rPr>
        <w:t xml:space="preserve">4.3 No Compliance Guarantee</w:t>
      </w:r>
    </w:p>
    <w:p>
      <w:pPr>
        <w:spacing w:after="100" w:before="80"/>
        <w:jc w:val="both"/>
      </w:pPr>
      <w:r>
        <w:rPr>
          <w:rFonts w:ascii="Calibri" w:cs="Calibri" w:eastAsia="Calibri" w:hAnsi="Calibri"/>
          <w:b w:val="false"/>
          <w:bCs w:val="false"/>
          <w:i w:val="false"/>
          <w:iCs w:val="false"/>
          <w:color w:val="000000"/>
          <w:sz w:val="20"/>
          <w:szCs w:val="20"/>
        </w:rPr>
        <w:t xml:space="preserve">DARA does not guarantee that proposals, responses, or other materials reviewed or assisted by the Service will comply with any solicitation requirement, evaluation criterion, agency regulation, or applicable law. DARA does not guarantee that the use of its Outputs will satisfy any government reviewer, source selection official, or contracting officer. The Service provides no assurance of compliance with FAR, DFARS, agency-specific acquisition regulations, or any other federal acquisition requirement.</w:t>
      </w:r>
    </w:p>
    <w:p>
      <w:pPr>
        <w:pStyle w:val="Heading2"/>
        <w:spacing w:after="80" w:before="240"/>
      </w:pPr>
      <w:r>
        <w:rPr>
          <w:rFonts w:ascii="Calibri" w:cs="Calibri" w:eastAsia="Calibri" w:hAnsi="Calibri"/>
          <w:b/>
          <w:bCs/>
          <w:color w:val="1B2A4A"/>
          <w:sz w:val="24"/>
          <w:szCs w:val="24"/>
        </w:rPr>
        <w:t xml:space="preserve">4.4 No Guarantee of Award or Favorable Outcome</w:t>
      </w:r>
    </w:p>
    <w:p>
      <w:pPr>
        <w:spacing w:after="100" w:before="80"/>
        <w:jc w:val="both"/>
      </w:pPr>
      <w:r>
        <w:rPr>
          <w:rFonts w:ascii="Calibri" w:cs="Calibri" w:eastAsia="Calibri" w:hAnsi="Calibri"/>
          <w:b w:val="false"/>
          <w:bCs w:val="false"/>
          <w:i w:val="false"/>
          <w:iCs w:val="false"/>
          <w:color w:val="000000"/>
          <w:sz w:val="20"/>
          <w:szCs w:val="20"/>
        </w:rPr>
        <w:t xml:space="preserve">CRUCIBLE INSIGHT ASSUMES NO LIABILITY WHATSOEVER FOR THE WIN OR LOSS OF ANY GOVERNMENT CONTRACT, TASK ORDER, DELIVERY ORDER, INDEFINITE DELIVERY INDEFINITE QUANTITY CONTRACT, OR OTHER PROCUREMENT AWARD, WHETHER OR NOT THE SERVICE WAS USED IN THE PREPARATION OF THE SUBMISSION. THE OCCURRENCE OF AN UNFAVORABLE AWARD DECISION, PROTEST OUTCOME, OR DEBRIEFING RESULT SHALL NOT GIVE RISE TO ANY CLAIM AGAINST CRUCIBLE INSIGHT UNDER ANY THEORY OF LIABILITY.</w:t>
      </w:r>
    </w:p>
    <w:p>
      <w:pPr>
        <w:pStyle w:val="Heading2"/>
        <w:spacing w:after="80" w:before="240"/>
      </w:pPr>
      <w:r>
        <w:rPr>
          <w:rFonts w:ascii="Calibri" w:cs="Calibri" w:eastAsia="Calibri" w:hAnsi="Calibri"/>
          <w:b/>
          <w:bCs/>
          <w:color w:val="1B2A4A"/>
          <w:sz w:val="24"/>
          <w:szCs w:val="24"/>
        </w:rPr>
        <w:t xml:space="preserve">4.5 User Reliance</w:t>
      </w:r>
    </w:p>
    <w:p>
      <w:pPr>
        <w:spacing w:after="100" w:before="80"/>
        <w:jc w:val="both"/>
      </w:pPr>
      <w:r>
        <w:rPr>
          <w:rFonts w:ascii="Calibri" w:cs="Calibri" w:eastAsia="Calibri" w:hAnsi="Calibri"/>
          <w:b w:val="false"/>
          <w:bCs w:val="false"/>
          <w:i w:val="false"/>
          <w:iCs w:val="false"/>
          <w:color w:val="000000"/>
          <w:sz w:val="20"/>
          <w:szCs w:val="20"/>
        </w:rPr>
        <w:t xml:space="preserve">Users assume all risk associated with reliance on Outputs. Crucible Insight recommends that Users employ qualified legal counsel, proposal professionals, and subject-matter experts to review all government contract submissions independently of any Output generated by the Service.</w:t>
      </w:r>
    </w:p>
    <w:p>
      <w:pPr>
        <w:spacing w:before="80"/>
      </w:pPr>
    </w:p>
    <w:p>
      <w:pPr>
        <w:pStyle w:val="Heading1"/>
        <w:spacing w:after="120" w:before="360"/>
      </w:pPr>
      <w:r>
        <w:rPr>
          <w:rFonts w:ascii="Calibri" w:cs="Calibri" w:eastAsia="Calibri" w:hAnsi="Calibri"/>
          <w:b/>
          <w:bCs/>
          <w:color w:val="1B2A4A"/>
          <w:sz w:val="28"/>
          <w:szCs w:val="28"/>
        </w:rPr>
        <w:t xml:space="preserve">5. DATA HANDLING, RETENTION, AND PRIVACY</w:t>
      </w:r>
    </w:p>
    <w:p>
      <w:pPr>
        <w:pStyle w:val="Heading2"/>
        <w:spacing w:after="80" w:before="240"/>
      </w:pPr>
      <w:r>
        <w:rPr>
          <w:rFonts w:ascii="Calibri" w:cs="Calibri" w:eastAsia="Calibri" w:hAnsi="Calibri"/>
          <w:b/>
          <w:bCs/>
          <w:color w:val="1B2A4A"/>
          <w:sz w:val="24"/>
          <w:szCs w:val="24"/>
        </w:rPr>
        <w:t xml:space="preserve">5.1 No Access to User Content</w:t>
      </w:r>
    </w:p>
    <w:p>
      <w:pPr>
        <w:spacing w:after="100" w:before="80"/>
        <w:jc w:val="both"/>
      </w:pPr>
      <w:r>
        <w:rPr>
          <w:rFonts w:ascii="Calibri" w:cs="Calibri" w:eastAsia="Calibri" w:hAnsi="Calibri"/>
          <w:b w:val="false"/>
          <w:bCs w:val="false"/>
          <w:i w:val="false"/>
          <w:iCs w:val="false"/>
          <w:color w:val="000000"/>
          <w:sz w:val="20"/>
          <w:szCs w:val="20"/>
        </w:rPr>
        <w:t xml:space="preserve">Crucible Insight does not access, review, monitor, or use User Content for any purpose other than delivering the Service. User Content is processed by the Service's automated systems solely to generate Outputs. No Crucible Insight personnel access User Content in the ordinary course of operations. Crucible Insight may access User Content only where required by law, compelled by a valid legal process, or with the User's express written consent.</w:t>
      </w:r>
    </w:p>
    <w:p>
      <w:pPr>
        <w:pStyle w:val="Heading2"/>
        <w:spacing w:after="80" w:before="240"/>
      </w:pPr>
      <w:r>
        <w:rPr>
          <w:rFonts w:ascii="Calibri" w:cs="Calibri" w:eastAsia="Calibri" w:hAnsi="Calibri"/>
          <w:b/>
          <w:bCs/>
          <w:color w:val="1B2A4A"/>
          <w:sz w:val="24"/>
          <w:szCs w:val="24"/>
        </w:rPr>
        <w:t xml:space="preserve">5.2 User Base Confidentiality</w:t>
      </w:r>
    </w:p>
    <w:p>
      <w:pPr>
        <w:spacing w:after="100" w:before="80"/>
        <w:jc w:val="both"/>
      </w:pPr>
      <w:r>
        <w:rPr>
          <w:rFonts w:ascii="Calibri" w:cs="Calibri" w:eastAsia="Calibri" w:hAnsi="Calibri"/>
          <w:b w:val="false"/>
          <w:bCs w:val="false"/>
          <w:i w:val="false"/>
          <w:iCs w:val="false"/>
          <w:color w:val="000000"/>
          <w:sz w:val="20"/>
          <w:szCs w:val="20"/>
        </w:rPr>
        <w:t xml:space="preserve">Crucible Insight treats its user base as confidential information. Crucible Insight will not disclose the identity of any User or the existence of any User's account to any third party except: (a) as required by applicable law or valid legal process; (b) with the User's express written consent; or (c) in aggregate, anonymized, non-attributable form for product improvement or benchmarking purposes that cannot reasonably be used to identify any individual User or User entity.</w:t>
      </w:r>
    </w:p>
    <w:p>
      <w:pPr>
        <w:pStyle w:val="Heading2"/>
        <w:spacing w:after="80" w:before="240"/>
      </w:pPr>
      <w:r>
        <w:rPr>
          <w:rFonts w:ascii="Calibri" w:cs="Calibri" w:eastAsia="Calibri" w:hAnsi="Calibri"/>
          <w:b/>
          <w:bCs/>
          <w:color w:val="1B2A4A"/>
          <w:sz w:val="24"/>
          <w:szCs w:val="24"/>
        </w:rPr>
        <w:t xml:space="preserve">5.3 Retention and Deletion</w:t>
      </w:r>
    </w:p>
    <w:p>
      <w:pPr>
        <w:spacing w:after="100" w:before="80"/>
        <w:jc w:val="both"/>
      </w:pPr>
      <w:r>
        <w:rPr>
          <w:rFonts w:ascii="Calibri" w:cs="Calibri" w:eastAsia="Calibri" w:hAnsi="Calibri"/>
          <w:b w:val="false"/>
          <w:bCs w:val="false"/>
          <w:i w:val="false"/>
          <w:iCs w:val="false"/>
          <w:color w:val="000000"/>
          <w:sz w:val="20"/>
          <w:szCs w:val="20"/>
        </w:rPr>
        <w:t xml:space="preserve">Users with corporate accounts may configure archive limits establishing the maximum period for which documents and associated analysis are retained within the Service. Upon expiration of a configured retention period, or upon a User's manual deletion request, User Content will be deleted from the Service's active systems within thirty (30) calendar days. Residual copies in backup systems will be purged within ninety (90) calendar days of deletion from active systems. Crucible Insight does not warrant the recovery of deleted content.</w:t>
      </w:r>
    </w:p>
    <w:p>
      <w:pPr>
        <w:pStyle w:val="Heading2"/>
        <w:spacing w:after="80" w:before="240"/>
      </w:pPr>
      <w:r>
        <w:rPr>
          <w:rFonts w:ascii="Calibri" w:cs="Calibri" w:eastAsia="Calibri" w:hAnsi="Calibri"/>
          <w:b/>
          <w:bCs/>
          <w:color w:val="1B2A4A"/>
          <w:sz w:val="24"/>
          <w:szCs w:val="24"/>
        </w:rPr>
        <w:t xml:space="preserve">5.4 Aggregated Data</w:t>
      </w:r>
    </w:p>
    <w:p>
      <w:pPr>
        <w:spacing w:after="100" w:before="80"/>
        <w:jc w:val="both"/>
      </w:pPr>
      <w:r>
        <w:rPr>
          <w:rFonts w:ascii="Calibri" w:cs="Calibri" w:eastAsia="Calibri" w:hAnsi="Calibri"/>
          <w:b w:val="false"/>
          <w:bCs w:val="false"/>
          <w:i w:val="false"/>
          <w:iCs w:val="false"/>
          <w:color w:val="000000"/>
          <w:sz w:val="20"/>
          <w:szCs w:val="20"/>
        </w:rPr>
        <w:t xml:space="preserve">Crucible Insight may collect, analyze, and use aggregated, de-identified, non-attributable usage data and performance metrics derived from the operation of the Service for product improvement, research, and business purposes. Such data will not identify any User, User entity, or User Content.</w:t>
      </w:r>
    </w:p>
    <w:p>
      <w:pPr>
        <w:spacing w:before="80"/>
      </w:pPr>
    </w:p>
    <w:p>
      <w:pPr>
        <w:pStyle w:val="Heading1"/>
        <w:spacing w:after="120" w:before="360"/>
      </w:pPr>
      <w:r>
        <w:rPr>
          <w:rFonts w:ascii="Calibri" w:cs="Calibri" w:eastAsia="Calibri" w:hAnsi="Calibri"/>
          <w:b/>
          <w:bCs/>
          <w:color w:val="1B2A4A"/>
          <w:sz w:val="28"/>
          <w:szCs w:val="28"/>
        </w:rPr>
        <w:t xml:space="preserve">6. INTELLECTUAL PROPERTY</w:t>
      </w:r>
    </w:p>
    <w:p>
      <w:pPr>
        <w:pStyle w:val="Heading2"/>
        <w:spacing w:after="80" w:before="240"/>
      </w:pPr>
      <w:r>
        <w:rPr>
          <w:rFonts w:ascii="Calibri" w:cs="Calibri" w:eastAsia="Calibri" w:hAnsi="Calibri"/>
          <w:b/>
          <w:bCs/>
          <w:color w:val="1B2A4A"/>
          <w:sz w:val="24"/>
          <w:szCs w:val="24"/>
        </w:rPr>
        <w:t xml:space="preserve">6.1 Service Ownership</w:t>
      </w:r>
    </w:p>
    <w:p>
      <w:pPr>
        <w:spacing w:after="100" w:before="80"/>
        <w:jc w:val="both"/>
      </w:pPr>
      <w:r>
        <w:rPr>
          <w:rFonts w:ascii="Calibri" w:cs="Calibri" w:eastAsia="Calibri" w:hAnsi="Calibri"/>
          <w:b w:val="false"/>
          <w:bCs w:val="false"/>
          <w:i w:val="false"/>
          <w:iCs w:val="false"/>
          <w:color w:val="000000"/>
          <w:sz w:val="20"/>
          <w:szCs w:val="20"/>
        </w:rPr>
        <w:t xml:space="preserve">The Service, including all software, algorithms, models, methodologies, interfaces, and documentation, is owned exclusively by Crucible Insight and is protected by applicable intellectual property laws. No rights are transferred to the User except the limited license expressly granted herein.</w:t>
      </w:r>
    </w:p>
    <w:p>
      <w:pPr>
        <w:pStyle w:val="Heading2"/>
        <w:spacing w:after="80" w:before="240"/>
      </w:pPr>
      <w:r>
        <w:rPr>
          <w:rFonts w:ascii="Calibri" w:cs="Calibri" w:eastAsia="Calibri" w:hAnsi="Calibri"/>
          <w:b/>
          <w:bCs/>
          <w:color w:val="1B2A4A"/>
          <w:sz w:val="24"/>
          <w:szCs w:val="24"/>
        </w:rPr>
        <w:t xml:space="preserve">6.2 License to Use</w:t>
      </w:r>
    </w:p>
    <w:p>
      <w:pPr>
        <w:spacing w:after="100" w:before="80"/>
        <w:jc w:val="both"/>
      </w:pPr>
      <w:r>
        <w:rPr>
          <w:rFonts w:ascii="Calibri" w:cs="Calibri" w:eastAsia="Calibri" w:hAnsi="Calibri"/>
          <w:b w:val="false"/>
          <w:bCs w:val="false"/>
          <w:i w:val="false"/>
          <w:iCs w:val="false"/>
          <w:color w:val="000000"/>
          <w:sz w:val="20"/>
          <w:szCs w:val="20"/>
        </w:rPr>
        <w:t xml:space="preserve">Subject to this Agreement, Crucible Insight grants User a limited, non-exclusive, non-transferable, non-sublicensable, revocable license to access and use the Service solely for User's internal business purposes during the applicable subscription term.</w:t>
      </w:r>
    </w:p>
    <w:p>
      <w:pPr>
        <w:pStyle w:val="Heading2"/>
        <w:spacing w:after="80" w:before="240"/>
      </w:pPr>
      <w:r>
        <w:rPr>
          <w:rFonts w:ascii="Calibri" w:cs="Calibri" w:eastAsia="Calibri" w:hAnsi="Calibri"/>
          <w:b/>
          <w:bCs/>
          <w:color w:val="1B2A4A"/>
          <w:sz w:val="24"/>
          <w:szCs w:val="24"/>
        </w:rPr>
        <w:t xml:space="preserve">6.3 User Content License</w:t>
      </w:r>
    </w:p>
    <w:p>
      <w:pPr>
        <w:spacing w:after="100" w:before="80"/>
        <w:jc w:val="both"/>
      </w:pPr>
      <w:r>
        <w:rPr>
          <w:rFonts w:ascii="Calibri" w:cs="Calibri" w:eastAsia="Calibri" w:hAnsi="Calibri"/>
          <w:b w:val="false"/>
          <w:bCs w:val="false"/>
          <w:i w:val="false"/>
          <w:iCs w:val="false"/>
          <w:color w:val="000000"/>
          <w:sz w:val="20"/>
          <w:szCs w:val="20"/>
        </w:rPr>
        <w:t xml:space="preserve">User grants Crucible Insight a limited, non-exclusive license to process User Content solely as necessary to deliver the Service. This license does not permit Crucible Insight to use User Content to train machine learning models, to share User Content with third parties except as required to deliver the Service, or to retain User Content beyond the periods specified in Section 5.3.</w:t>
      </w:r>
    </w:p>
    <w:p>
      <w:pPr>
        <w:pStyle w:val="Heading2"/>
        <w:spacing w:after="80" w:before="240"/>
      </w:pPr>
      <w:r>
        <w:rPr>
          <w:rFonts w:ascii="Calibri" w:cs="Calibri" w:eastAsia="Calibri" w:hAnsi="Calibri"/>
          <w:b/>
          <w:bCs/>
          <w:color w:val="1B2A4A"/>
          <w:sz w:val="24"/>
          <w:szCs w:val="24"/>
        </w:rPr>
        <w:t xml:space="preserve">6.4 Feedback</w:t>
      </w:r>
    </w:p>
    <w:p>
      <w:pPr>
        <w:spacing w:after="100" w:before="80"/>
        <w:jc w:val="both"/>
      </w:pPr>
      <w:r>
        <w:rPr>
          <w:rFonts w:ascii="Calibri" w:cs="Calibri" w:eastAsia="Calibri" w:hAnsi="Calibri"/>
          <w:b w:val="false"/>
          <w:bCs w:val="false"/>
          <w:i w:val="false"/>
          <w:iCs w:val="false"/>
          <w:color w:val="000000"/>
          <w:sz w:val="20"/>
          <w:szCs w:val="20"/>
        </w:rPr>
        <w:t xml:space="preserve">If User provides suggestions, feedback, or ideas regarding the Service, User grants Crucible Insight a perpetual, irrevocable, royalty-free license to use such feedback for any purpose without attribution or compensation.</w:t>
      </w:r>
    </w:p>
    <w:p>
      <w:pPr>
        <w:spacing w:before="80"/>
      </w:pPr>
    </w:p>
    <w:p>
      <w:pPr>
        <w:pStyle w:val="Heading1"/>
        <w:spacing w:after="120" w:before="360"/>
      </w:pPr>
      <w:r>
        <w:rPr>
          <w:rFonts w:ascii="Calibri" w:cs="Calibri" w:eastAsia="Calibri" w:hAnsi="Calibri"/>
          <w:b/>
          <w:bCs/>
          <w:color w:val="1B2A4A"/>
          <w:sz w:val="28"/>
          <w:szCs w:val="28"/>
        </w:rPr>
        <w:t xml:space="preserve">7. LIMITATION OF LIABILITY</w:t>
      </w:r>
    </w:p>
    <w:p>
      <w:pPr>
        <w:pStyle w:val="Heading2"/>
        <w:spacing w:after="80" w:before="240"/>
      </w:pPr>
      <w:r>
        <w:rPr>
          <w:rFonts w:ascii="Calibri" w:cs="Calibri" w:eastAsia="Calibri" w:hAnsi="Calibri"/>
          <w:b/>
          <w:bCs/>
          <w:color w:val="1B2A4A"/>
          <w:sz w:val="24"/>
          <w:szCs w:val="24"/>
        </w:rPr>
        <w:t xml:space="preserve">7.1 Exclusion of Consequential Damages</w:t>
      </w:r>
    </w:p>
    <w:p>
      <w:pPr>
        <w:spacing w:after="100" w:before="80"/>
        <w:jc w:val="both"/>
      </w:pPr>
      <w:r>
        <w:rPr>
          <w:rFonts w:ascii="Calibri" w:cs="Calibri" w:eastAsia="Calibri" w:hAnsi="Calibri"/>
          <w:b w:val="false"/>
          <w:bCs w:val="false"/>
          <w:i w:val="false"/>
          <w:iCs w:val="false"/>
          <w:color w:val="000000"/>
          <w:sz w:val="20"/>
          <w:szCs w:val="20"/>
        </w:rPr>
        <w:t xml:space="preserve">TO THE FULLEST EXTENT PERMITTED BY APPLICABLE LAW, CRUCIBLE INSIGHT SHALL NOT BE LIABLE TO ANY USER FOR ANY INDIRECT, INCIDENTAL, SPECIAL, CONSEQUENTIAL, PUNITIVE, OR EXEMPLARY DAMAGES, INCLUDING BUT NOT LIMITED TO DAMAGES FOR LOSS OF PROFITS, LOSS OF REVENUE, LOSS OF DATA, LOSS OF GOODWILL, LOSS OF CONTRACTS, LOSS OF BUSINESS OPPORTUNITY, COST OF SUBSTITUTE GOODS OR SERVICES, OR ANY OTHER INTANGIBLE LOSS, ARISING OUT OF OR IN CONNECTION WITH THE USE OF OR INABILITY TO USE THE SERVICE, REGARDLESS OF WHETHER SUCH DAMAGES WERE FORESEEABLE AND WHETHER CRUCIBLE INSIGHT WAS ADVISED OF THE POSSIBILITY OF SUCH DAMAGES.</w:t>
      </w:r>
    </w:p>
    <w:p>
      <w:pPr>
        <w:pStyle w:val="Heading2"/>
        <w:spacing w:after="80" w:before="240"/>
      </w:pPr>
      <w:r>
        <w:rPr>
          <w:rFonts w:ascii="Calibri" w:cs="Calibri" w:eastAsia="Calibri" w:hAnsi="Calibri"/>
          <w:b/>
          <w:bCs/>
          <w:color w:val="1B2A4A"/>
          <w:sz w:val="24"/>
          <w:szCs w:val="24"/>
        </w:rPr>
        <w:t xml:space="preserve">7.2 Cap on Liability</w:t>
      </w:r>
    </w:p>
    <w:p>
      <w:pPr>
        <w:spacing w:after="100" w:before="80"/>
        <w:jc w:val="both"/>
      </w:pPr>
      <w:r>
        <w:rPr>
          <w:rFonts w:ascii="Calibri" w:cs="Calibri" w:eastAsia="Calibri" w:hAnsi="Calibri"/>
          <w:b w:val="false"/>
          <w:bCs w:val="false"/>
          <w:i w:val="false"/>
          <w:iCs w:val="false"/>
          <w:color w:val="000000"/>
          <w:sz w:val="20"/>
          <w:szCs w:val="20"/>
        </w:rPr>
        <w:t xml:space="preserve">TO THE FULLEST EXTENT PERMITTED BY APPLICABLE LAW, CRUCIBLE INSIGHT'S TOTAL CUMULATIVE LIABILITY TO ANY USER ARISING OUT OF OR IN CONNECTION WITH THIS AGREEMENT OR THE SERVICE, REGARDLESS OF THE CAUSE OF ACTION OR THE THEORY OF LIABILITY, SHALL NOT EXCEED THE GREATER OF (A) THE TOTAL FEES PAID BY THAT USER TO CRUCIBLE INSIGHT IN THE TWELVE (12) MONTHS IMMEDIATELY PRECEDING THE EVENT GIVING RISE TO THE CLAIM OR (B) ONE HUNDRED DOLLARS ($100.00 USD).</w:t>
      </w:r>
    </w:p>
    <w:p>
      <w:pPr>
        <w:pStyle w:val="Heading2"/>
        <w:spacing w:after="80" w:before="240"/>
      </w:pPr>
      <w:r>
        <w:rPr>
          <w:rFonts w:ascii="Calibri" w:cs="Calibri" w:eastAsia="Calibri" w:hAnsi="Calibri"/>
          <w:b/>
          <w:bCs/>
          <w:color w:val="1B2A4A"/>
          <w:sz w:val="24"/>
          <w:szCs w:val="24"/>
        </w:rPr>
        <w:t xml:space="preserve">7.3 Essential Basis</w:t>
      </w:r>
    </w:p>
    <w:p>
      <w:pPr>
        <w:spacing w:after="100" w:before="80"/>
        <w:jc w:val="both"/>
      </w:pPr>
      <w:r>
        <w:rPr>
          <w:rFonts w:ascii="Calibri" w:cs="Calibri" w:eastAsia="Calibri" w:hAnsi="Calibri"/>
          <w:b w:val="false"/>
          <w:bCs w:val="false"/>
          <w:i w:val="false"/>
          <w:iCs w:val="false"/>
          <w:color w:val="000000"/>
          <w:sz w:val="20"/>
          <w:szCs w:val="20"/>
        </w:rPr>
        <w:t xml:space="preserve">The limitations of liability in this Section reflect an allocation of risk between the parties and are an essential element of the basis of the bargain between Crucible Insight and the User. Crucible Insight would not provide the Service without these limitations.</w:t>
      </w:r>
    </w:p>
    <w:p>
      <w:pPr>
        <w:pStyle w:val="Heading2"/>
        <w:spacing w:after="80" w:before="240"/>
      </w:pPr>
      <w:r>
        <w:rPr>
          <w:rFonts w:ascii="Calibri" w:cs="Calibri" w:eastAsia="Calibri" w:hAnsi="Calibri"/>
          <w:b/>
          <w:bCs/>
          <w:color w:val="1B2A4A"/>
          <w:sz w:val="24"/>
          <w:szCs w:val="24"/>
        </w:rPr>
        <w:t xml:space="preserve">7.4 Government Contract Awards</w:t>
      </w:r>
    </w:p>
    <w:p>
      <w:pPr>
        <w:spacing w:after="100" w:before="80"/>
        <w:jc w:val="both"/>
      </w:pPr>
      <w:r>
        <w:rPr>
          <w:rFonts w:ascii="Calibri" w:cs="Calibri" w:eastAsia="Calibri" w:hAnsi="Calibri"/>
          <w:b w:val="false"/>
          <w:bCs w:val="false"/>
          <w:i w:val="false"/>
          <w:iCs w:val="false"/>
          <w:color w:val="000000"/>
          <w:sz w:val="20"/>
          <w:szCs w:val="20"/>
        </w:rPr>
        <w:t xml:space="preserve">Without limiting the foregoing, Crucible Insight shall have no liability under any theory of liability for the failure of any User to win, retain, or perform any government contract, task order, or other procurement award, regardless of whether the Service was used in connection with any submission or proposal.</w:t>
      </w:r>
    </w:p>
    <w:p>
      <w:pPr>
        <w:spacing w:before="80"/>
      </w:pPr>
    </w:p>
    <w:p>
      <w:pPr>
        <w:pStyle w:val="Heading1"/>
        <w:spacing w:after="120" w:before="360"/>
      </w:pPr>
      <w:r>
        <w:rPr>
          <w:rFonts w:ascii="Calibri" w:cs="Calibri" w:eastAsia="Calibri" w:hAnsi="Calibri"/>
          <w:b/>
          <w:bCs/>
          <w:color w:val="1B2A4A"/>
          <w:sz w:val="28"/>
          <w:szCs w:val="28"/>
        </w:rPr>
        <w:t xml:space="preserve">8. INDEMNIFICATION</w:t>
      </w:r>
    </w:p>
    <w:p>
      <w:pPr>
        <w:spacing w:after="100" w:before="80"/>
        <w:jc w:val="both"/>
      </w:pPr>
      <w:r>
        <w:rPr>
          <w:rFonts w:ascii="Calibri" w:cs="Calibri" w:eastAsia="Calibri" w:hAnsi="Calibri"/>
          <w:b w:val="false"/>
          <w:bCs w:val="false"/>
          <w:i w:val="false"/>
          <w:iCs w:val="false"/>
          <w:color w:val="000000"/>
          <w:sz w:val="20"/>
          <w:szCs w:val="20"/>
        </w:rPr>
        <w:t xml:space="preserve">User agrees to defend, indemnify, and hold harmless Crucible Insight, The Daniel Group LLC, and their respective officers, directors, employees, contractors, agents, successors, and assigns from and against any and all claims, damages, liabilities, costs, and expenses (including reasonable attorneys' fees) arising out of or relating to: (a) User's use of the Service; (b) User's submission of CUI, FCI, or any other regulated or sensitive information to the Service in violation of Section 3; (c) User's breach of this Agreement; (d) User's violation of any applicable law or regulation, including any CMMC, DFARS, or FAR obligation; (e) any dispute between User and a government customer, prime contractor, subcontractor, or teaming partner arising from a proposal or award decision; or (f) any third-party claim arising from User Content.</w:t>
      </w:r>
    </w:p>
    <w:p>
      <w:pPr>
        <w:spacing w:before="80"/>
      </w:pPr>
    </w:p>
    <w:p>
      <w:pPr>
        <w:pStyle w:val="Heading1"/>
        <w:spacing w:after="120" w:before="360"/>
      </w:pPr>
      <w:r>
        <w:rPr>
          <w:rFonts w:ascii="Calibri" w:cs="Calibri" w:eastAsia="Calibri" w:hAnsi="Calibri"/>
          <w:b/>
          <w:bCs/>
          <w:color w:val="1B2A4A"/>
          <w:sz w:val="28"/>
          <w:szCs w:val="28"/>
        </w:rPr>
        <w:t xml:space="preserve">9. DISCLAIMER OF WARRANTIES</w:t>
      </w:r>
    </w:p>
    <w:p>
      <w:pPr>
        <w:spacing w:after="100" w:before="80"/>
        <w:jc w:val="both"/>
      </w:pPr>
      <w:r>
        <w:rPr>
          <w:rFonts w:ascii="Calibri" w:cs="Calibri" w:eastAsia="Calibri" w:hAnsi="Calibri"/>
          <w:b w:val="false"/>
          <w:bCs w:val="false"/>
          <w:i w:val="false"/>
          <w:iCs w:val="false"/>
          <w:color w:val="000000"/>
          <w:sz w:val="20"/>
          <w:szCs w:val="20"/>
        </w:rPr>
        <w:t xml:space="preserve">THE SERVICE IS PROVIDED "AS IS" AND "AS AVAILABLE" WITHOUT WARRANTY OF ANY KIND. CRUCIBLE INSIGHT EXPRESSLY DISCLAIMS ALL WARRANTIES, EXPRESS, IMPLIED, STATUTORY, OR OTHERWISE, INCLUDING BUT NOT LIMITED TO THE IMPLIED WARRANTIES OF MERCHANTABILITY, FITNESS FOR A PARTICULAR PURPOSE, TITLE, AND NON-INFRINGEMENT. CRUCIBLE INSIGHT DOES NOT WARRANT THAT THE SERVICE WILL BE UNINTERRUPTED, ERROR-FREE, SECURE, OR FREE FROM VIRUSES OR OTHER HARMFUL COMPONENTS.</w:t>
      </w:r>
    </w:p>
    <w:p>
      <w:pPr>
        <w:spacing w:before="80"/>
      </w:pPr>
    </w:p>
    <w:p>
      <w:pPr>
        <w:pStyle w:val="Heading1"/>
        <w:spacing w:after="120" w:before="360"/>
      </w:pPr>
      <w:r>
        <w:rPr>
          <w:rFonts w:ascii="Calibri" w:cs="Calibri" w:eastAsia="Calibri" w:hAnsi="Calibri"/>
          <w:b/>
          <w:bCs/>
          <w:color w:val="1B2A4A"/>
          <w:sz w:val="28"/>
          <w:szCs w:val="28"/>
        </w:rPr>
        <w:t xml:space="preserve">10. PROHIBITED USES</w:t>
      </w:r>
    </w:p>
    <w:p>
      <w:pPr>
        <w:spacing w:after="100" w:before="80"/>
        <w:jc w:val="both"/>
      </w:pPr>
      <w:r>
        <w:rPr>
          <w:rFonts w:ascii="Calibri" w:cs="Calibri" w:eastAsia="Calibri" w:hAnsi="Calibri"/>
          <w:b w:val="false"/>
          <w:bCs w:val="false"/>
          <w:i w:val="false"/>
          <w:iCs w:val="false"/>
          <w:color w:val="000000"/>
          <w:sz w:val="20"/>
          <w:szCs w:val="20"/>
        </w:rPr>
        <w:t xml:space="preserve">User agrees not to use the Service to:</w:t>
      </w:r>
    </w:p>
    <w:p>
      <w:pPr>
        <w:pStyle w:val="ListParagraph"/>
        <w:numPr>
          <w:ilvl w:val="0"/>
          <w:numId w:val="1"/>
        </w:numPr>
        <w:spacing w:after="60" w:before="60"/>
        <w:ind w:left="576" w:hanging="288"/>
      </w:pPr>
      <w:r>
        <w:rPr>
          <w:rFonts w:ascii="Calibri" w:cs="Calibri" w:eastAsia="Calibri" w:hAnsi="Calibri"/>
          <w:color w:val="000000"/>
          <w:sz w:val="20"/>
          <w:szCs w:val="20"/>
        </w:rPr>
        <w:t xml:space="preserve">Submit, transmit, or process CUI, FCI, or any information subject to export control under ITAR or EAR;</w:t>
      </w:r>
    </w:p>
    <w:p>
      <w:pPr>
        <w:pStyle w:val="ListParagraph"/>
        <w:numPr>
          <w:ilvl w:val="0"/>
          <w:numId w:val="1"/>
        </w:numPr>
        <w:spacing w:after="60" w:before="60"/>
        <w:ind w:left="576" w:hanging="288"/>
      </w:pPr>
      <w:r>
        <w:rPr>
          <w:rFonts w:ascii="Calibri" w:cs="Calibri" w:eastAsia="Calibri" w:hAnsi="Calibri"/>
          <w:color w:val="000000"/>
          <w:sz w:val="20"/>
          <w:szCs w:val="20"/>
        </w:rPr>
        <w:t xml:space="preserve">Submit content that infringes upon the intellectual property rights, confidentiality obligations, or proprietary rights of any third party;</w:t>
      </w:r>
    </w:p>
    <w:p>
      <w:pPr>
        <w:pStyle w:val="ListParagraph"/>
        <w:numPr>
          <w:ilvl w:val="0"/>
          <w:numId w:val="1"/>
        </w:numPr>
        <w:spacing w:after="60" w:before="60"/>
        <w:ind w:left="576" w:hanging="288"/>
      </w:pPr>
      <w:r>
        <w:rPr>
          <w:rFonts w:ascii="Calibri" w:cs="Calibri" w:eastAsia="Calibri" w:hAnsi="Calibri"/>
          <w:color w:val="000000"/>
          <w:sz w:val="20"/>
          <w:szCs w:val="20"/>
        </w:rPr>
        <w:t xml:space="preserve">Attempt to reverse engineer, decompile, or derive the source code, underlying algorithms, or methodologies of the Service;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Circumvent, disable, or interfere with security features, authentication controls, or access restrictions;</w:t>
      </w:r>
    </w:p>
    <w:p>
      <w:pPr>
        <w:pStyle w:val="ListParagraph"/>
        <w:numPr>
          <w:ilvl w:val="0"/>
          <w:numId w:val="1"/>
        </w:numPr>
        <w:spacing w:after="60" w:before="60"/>
        <w:ind w:left="576" w:hanging="288"/>
      </w:pPr>
      <w:r>
        <w:rPr>
          <w:rFonts w:ascii="Calibri" w:cs="Calibri" w:eastAsia="Calibri" w:hAnsi="Calibri"/>
          <w:color w:val="000000"/>
          <w:sz w:val="20"/>
          <w:szCs w:val="20"/>
        </w:rPr>
        <w:t xml:space="preserve">Use the Service for any purpose that violates applicable law or regulation;</w:t>
      </w:r>
    </w:p>
    <w:p>
      <w:pPr>
        <w:pStyle w:val="ListParagraph"/>
        <w:numPr>
          <w:ilvl w:val="0"/>
          <w:numId w:val="1"/>
        </w:numPr>
        <w:spacing w:after="60" w:before="60"/>
        <w:ind w:left="576" w:hanging="288"/>
      </w:pPr>
      <w:r>
        <w:rPr>
          <w:rFonts w:ascii="Calibri" w:cs="Calibri" w:eastAsia="Calibri" w:hAnsi="Calibri"/>
          <w:color w:val="000000"/>
          <w:sz w:val="20"/>
          <w:szCs w:val="20"/>
        </w:rPr>
        <w:t xml:space="preserve">Resell, sublicense, or otherwise make the Service available to third parties without Crucible Insight's express written consent;</w:t>
      </w:r>
    </w:p>
    <w:p>
      <w:pPr>
        <w:pStyle w:val="ListParagraph"/>
        <w:numPr>
          <w:ilvl w:val="0"/>
          <w:numId w:val="1"/>
        </w:numPr>
        <w:spacing w:after="60" w:before="60"/>
        <w:ind w:left="576" w:hanging="288"/>
      </w:pPr>
      <w:r>
        <w:rPr>
          <w:rFonts w:ascii="Calibri" w:cs="Calibri" w:eastAsia="Calibri" w:hAnsi="Calibri"/>
          <w:color w:val="000000"/>
          <w:sz w:val="20"/>
          <w:szCs w:val="20"/>
        </w:rPr>
        <w:t xml:space="preserve">Submit false, misleading, or fraudulent information.</w:t>
      </w:r>
    </w:p>
    <w:p>
      <w:pPr>
        <w:spacing w:before="80"/>
      </w:pPr>
    </w:p>
    <w:p>
      <w:pPr>
        <w:pStyle w:val="Heading1"/>
        <w:spacing w:after="120" w:before="360"/>
      </w:pPr>
      <w:r>
        <w:rPr>
          <w:rFonts w:ascii="Calibri" w:cs="Calibri" w:eastAsia="Calibri" w:hAnsi="Calibri"/>
          <w:b/>
          <w:bCs/>
          <w:color w:val="1B2A4A"/>
          <w:sz w:val="28"/>
          <w:szCs w:val="28"/>
        </w:rPr>
        <w:t xml:space="preserve">11. TERM, SUSPENSION, AND TERMINATION</w:t>
      </w:r>
    </w:p>
    <w:p>
      <w:pPr>
        <w:spacing w:after="100" w:before="80"/>
        <w:jc w:val="both"/>
      </w:pPr>
      <w:r>
        <w:rPr>
          <w:rFonts w:ascii="Calibri" w:cs="Calibri" w:eastAsia="Calibri" w:hAnsi="Calibri"/>
          <w:b w:val="false"/>
          <w:bCs w:val="false"/>
          <w:i w:val="false"/>
          <w:iCs w:val="false"/>
          <w:color w:val="000000"/>
          <w:sz w:val="20"/>
          <w:szCs w:val="20"/>
        </w:rPr>
        <w:t xml:space="preserve">This Agreement is effective upon account creation and continues until terminated. Crucible Insight may suspend or terminate any User's access to the Service immediately and without notice for material breach of this Agreement, including unauthorized submission of CUI or FCI. Upon termination, all licenses granted herein terminate immediately. Sections 3, 4, 5, 6, 7, 8, 9, 12, 13, and 14 survive termination.</w:t>
      </w:r>
    </w:p>
    <w:p>
      <w:pPr>
        <w:spacing w:before="80"/>
      </w:pPr>
    </w:p>
    <w:p>
      <w:pPr>
        <w:pStyle w:val="Heading1"/>
        <w:spacing w:after="120" w:before="360"/>
      </w:pPr>
      <w:r>
        <w:rPr>
          <w:rFonts w:ascii="Calibri" w:cs="Calibri" w:eastAsia="Calibri" w:hAnsi="Calibri"/>
          <w:b/>
          <w:bCs/>
          <w:color w:val="1B2A4A"/>
          <w:sz w:val="28"/>
          <w:szCs w:val="28"/>
        </w:rPr>
        <w:t xml:space="preserve">12. GOVERNING LAW AND DISPUTE RESOLUTION</w:t>
      </w:r>
    </w:p>
    <w:p>
      <w:pPr>
        <w:pStyle w:val="Heading2"/>
        <w:spacing w:after="80" w:before="240"/>
      </w:pPr>
      <w:r>
        <w:rPr>
          <w:rFonts w:ascii="Calibri" w:cs="Calibri" w:eastAsia="Calibri" w:hAnsi="Calibri"/>
          <w:b/>
          <w:bCs/>
          <w:color w:val="1B2A4A"/>
          <w:sz w:val="24"/>
          <w:szCs w:val="24"/>
        </w:rPr>
        <w:t xml:space="preserve">12.1 Governing Law</w:t>
      </w:r>
    </w:p>
    <w:p>
      <w:pPr>
        <w:spacing w:after="100" w:before="80"/>
        <w:jc w:val="both"/>
      </w:pPr>
      <w:r>
        <w:rPr>
          <w:rFonts w:ascii="Calibri" w:cs="Calibri" w:eastAsia="Calibri" w:hAnsi="Calibri"/>
          <w:b w:val="false"/>
          <w:bCs w:val="false"/>
          <w:i w:val="false"/>
          <w:iCs w:val="false"/>
          <w:color w:val="000000"/>
          <w:sz w:val="20"/>
          <w:szCs w:val="20"/>
        </w:rPr>
        <w:t xml:space="preserve">This Agreement is governed by the laws of the State of Arizona, without regard to its conflict-of-law principles.</w:t>
      </w:r>
    </w:p>
    <w:p>
      <w:pPr>
        <w:pStyle w:val="Heading2"/>
        <w:spacing w:after="80" w:before="240"/>
      </w:pPr>
      <w:r>
        <w:rPr>
          <w:rFonts w:ascii="Calibri" w:cs="Calibri" w:eastAsia="Calibri" w:hAnsi="Calibri"/>
          <w:b/>
          <w:bCs/>
          <w:color w:val="1B2A4A"/>
          <w:sz w:val="24"/>
          <w:szCs w:val="24"/>
        </w:rPr>
        <w:t xml:space="preserve">12.2 Venue</w:t>
      </w:r>
    </w:p>
    <w:p>
      <w:pPr>
        <w:spacing w:after="100" w:before="80"/>
        <w:jc w:val="both"/>
      </w:pPr>
      <w:r>
        <w:rPr>
          <w:rFonts w:ascii="Calibri" w:cs="Calibri" w:eastAsia="Calibri" w:hAnsi="Calibri"/>
          <w:b w:val="false"/>
          <w:bCs w:val="false"/>
          <w:i w:val="false"/>
          <w:iCs w:val="false"/>
          <w:color w:val="000000"/>
          <w:sz w:val="20"/>
          <w:szCs w:val="20"/>
        </w:rPr>
        <w:t xml:space="preserve">Any dispute arising out of or relating to this Agreement shall be resolved exclusively in the state or federal courts located in Maricopa County, Arizona. User irrevocably consents to personal jurisdiction and venue in such courts.</w:t>
      </w:r>
    </w:p>
    <w:p>
      <w:pPr>
        <w:pStyle w:val="Heading2"/>
        <w:spacing w:after="80" w:before="240"/>
      </w:pPr>
      <w:r>
        <w:rPr>
          <w:rFonts w:ascii="Calibri" w:cs="Calibri" w:eastAsia="Calibri" w:hAnsi="Calibri"/>
          <w:b/>
          <w:bCs/>
          <w:color w:val="1B2A4A"/>
          <w:sz w:val="24"/>
          <w:szCs w:val="24"/>
        </w:rPr>
        <w:t xml:space="preserve">12.3 Waiver of Class Action</w:t>
      </w:r>
    </w:p>
    <w:p>
      <w:pPr>
        <w:spacing w:after="100" w:before="80"/>
        <w:jc w:val="both"/>
      </w:pPr>
      <w:r>
        <w:rPr>
          <w:rFonts w:ascii="Calibri" w:cs="Calibri" w:eastAsia="Calibri" w:hAnsi="Calibri"/>
          <w:b w:val="false"/>
          <w:bCs w:val="false"/>
          <w:i w:val="false"/>
          <w:iCs w:val="false"/>
          <w:color w:val="000000"/>
          <w:sz w:val="20"/>
          <w:szCs w:val="20"/>
        </w:rPr>
        <w:t xml:space="preserve">TO THE FULLEST EXTENT PERMITTED BY LAW, USER WAIVES ANY RIGHT TO PARTICIPATE IN A CLASS ACTION LAWSUIT OR CLASS-WIDE ARBITRATION AGAINST CRUCIBLE INSIGHT ARISING OUT OF OR RELATED TO THIS AGREEMENT OR THE SERVICE.</w:t>
      </w:r>
    </w:p>
    <w:p>
      <w:pPr>
        <w:spacing w:before="80"/>
      </w:pPr>
    </w:p>
    <w:p>
      <w:pPr>
        <w:pStyle w:val="Heading1"/>
        <w:spacing w:after="120" w:before="360"/>
      </w:pPr>
      <w:r>
        <w:rPr>
          <w:rFonts w:ascii="Calibri" w:cs="Calibri" w:eastAsia="Calibri" w:hAnsi="Calibri"/>
          <w:b/>
          <w:bCs/>
          <w:color w:val="1B2A4A"/>
          <w:sz w:val="28"/>
          <w:szCs w:val="28"/>
        </w:rPr>
        <w:t xml:space="preserve">13. MODIFICATIONS</w:t>
      </w:r>
    </w:p>
    <w:p>
      <w:pPr>
        <w:spacing w:after="100" w:before="80"/>
        <w:jc w:val="both"/>
      </w:pPr>
      <w:r>
        <w:rPr>
          <w:rFonts w:ascii="Calibri" w:cs="Calibri" w:eastAsia="Calibri" w:hAnsi="Calibri"/>
          <w:b w:val="false"/>
          <w:bCs w:val="false"/>
          <w:i w:val="false"/>
          <w:iCs w:val="false"/>
          <w:color w:val="000000"/>
          <w:sz w:val="20"/>
          <w:szCs w:val="20"/>
        </w:rPr>
        <w:t xml:space="preserve">Crucible Insight reserves the right to modify this Agreement at any time. Modifications will be posted to dara.crucibleinsight.com with an updated effective date. Continued use of the Service after the effective date of any modification constitutes acceptance of the modified Agreement. If a modification materially reduces User's rights, Crucible Insight will provide at least thirty (30) days' notice via email to the registered account address.</w:t>
      </w:r>
    </w:p>
    <w:p>
      <w:pPr>
        <w:spacing w:before="80"/>
      </w:pPr>
    </w:p>
    <w:p>
      <w:pPr>
        <w:pStyle w:val="Heading1"/>
        <w:spacing w:after="120" w:before="360"/>
      </w:pPr>
      <w:r>
        <w:rPr>
          <w:rFonts w:ascii="Calibri" w:cs="Calibri" w:eastAsia="Calibri" w:hAnsi="Calibri"/>
          <w:b/>
          <w:bCs/>
          <w:color w:val="1B2A4A"/>
          <w:sz w:val="28"/>
          <w:szCs w:val="28"/>
        </w:rPr>
        <w:t xml:space="preserve">14. GENERAL PROVISIONS</w:t>
      </w:r>
    </w:p>
    <w:p>
      <w:pPr>
        <w:spacing w:after="100" w:before="80"/>
        <w:jc w:val="both"/>
      </w:pPr>
      <w:r>
        <w:rPr>
          <w:rFonts w:ascii="Calibri" w:cs="Calibri" w:eastAsia="Calibri" w:hAnsi="Calibri"/>
          <w:b/>
          <w:bCs/>
          <w:color w:val="000000"/>
          <w:sz w:val="20"/>
          <w:szCs w:val="20"/>
        </w:rPr>
        <w:t xml:space="preserve">Entire Agreement. </w:t>
      </w:r>
      <w:r>
        <w:rPr>
          <w:rFonts w:ascii="Calibri" w:cs="Calibri" w:eastAsia="Calibri" w:hAnsi="Calibri"/>
          <w:color w:val="000000"/>
          <w:sz w:val="20"/>
          <w:szCs w:val="20"/>
        </w:rPr>
        <w:t xml:space="preserve">This Agreement, together with the Mutual Non-Disclosure Agreement, the Data Processing Addendum, and the CUI Exclusion Acknowledgment incorporated herein by reference, constitutes the entire agreement between the parties regarding the Service and supersedes all prior or contemporaneous agreements, representations, and understandings.</w:t>
      </w:r>
    </w:p>
    <w:p>
      <w:pPr>
        <w:spacing w:after="100" w:before="80"/>
        <w:jc w:val="both"/>
      </w:pPr>
      <w:r>
        <w:rPr>
          <w:rFonts w:ascii="Calibri" w:cs="Calibri" w:eastAsia="Calibri" w:hAnsi="Calibri"/>
          <w:b/>
          <w:bCs/>
          <w:color w:val="000000"/>
          <w:sz w:val="20"/>
          <w:szCs w:val="20"/>
        </w:rPr>
        <w:t xml:space="preserve">Severability. </w:t>
      </w:r>
      <w:r>
        <w:rPr>
          <w:rFonts w:ascii="Calibri" w:cs="Calibri" w:eastAsia="Calibri" w:hAnsi="Calibri"/>
          <w:color w:val="000000"/>
          <w:sz w:val="20"/>
          <w:szCs w:val="20"/>
        </w:rPr>
        <w:t xml:space="preserve">If any provision of this Agreement is held invalid or unenforceable, that provision shall be modified to the minimum extent necessary to make it enforceable, and the remaining provisions shall continue in full force.</w:t>
      </w:r>
    </w:p>
    <w:p>
      <w:pPr>
        <w:spacing w:after="100" w:before="80"/>
        <w:jc w:val="both"/>
      </w:pPr>
      <w:r>
        <w:rPr>
          <w:rFonts w:ascii="Calibri" w:cs="Calibri" w:eastAsia="Calibri" w:hAnsi="Calibri"/>
          <w:b/>
          <w:bCs/>
          <w:color w:val="000000"/>
          <w:sz w:val="20"/>
          <w:szCs w:val="20"/>
        </w:rPr>
        <w:t xml:space="preserve">Waiver. </w:t>
      </w:r>
      <w:r>
        <w:rPr>
          <w:rFonts w:ascii="Calibri" w:cs="Calibri" w:eastAsia="Calibri" w:hAnsi="Calibri"/>
          <w:color w:val="000000"/>
          <w:sz w:val="20"/>
          <w:szCs w:val="20"/>
        </w:rPr>
        <w:t xml:space="preserve">Failure by Crucible Insight to enforce any right under this Agreement does not constitute a waiver of that right.</w:t>
      </w:r>
    </w:p>
    <w:p>
      <w:pPr>
        <w:spacing w:after="100" w:before="80"/>
        <w:jc w:val="both"/>
      </w:pPr>
      <w:r>
        <w:rPr>
          <w:rFonts w:ascii="Calibri" w:cs="Calibri" w:eastAsia="Calibri" w:hAnsi="Calibri"/>
          <w:b/>
          <w:bCs/>
          <w:color w:val="000000"/>
          <w:sz w:val="20"/>
          <w:szCs w:val="20"/>
        </w:rPr>
        <w:t xml:space="preserve">Assignment. </w:t>
      </w:r>
      <w:r>
        <w:rPr>
          <w:rFonts w:ascii="Calibri" w:cs="Calibri" w:eastAsia="Calibri" w:hAnsi="Calibri"/>
          <w:color w:val="000000"/>
          <w:sz w:val="20"/>
          <w:szCs w:val="20"/>
        </w:rPr>
        <w:t xml:space="preserve">User may not assign this Agreement or any rights or obligations hereunder without Crucible Insight's prior written consent. Crucible Insight may assign this Agreement in connection with a merger, acquisition, or sale of all or substantially all of its assets.</w:t>
      </w:r>
    </w:p>
    <w:p>
      <w:pPr>
        <w:spacing w:after="100" w:before="80"/>
        <w:jc w:val="both"/>
      </w:pPr>
      <w:r>
        <w:rPr>
          <w:rFonts w:ascii="Calibri" w:cs="Calibri" w:eastAsia="Calibri" w:hAnsi="Calibri"/>
          <w:b/>
          <w:bCs/>
          <w:color w:val="000000"/>
          <w:sz w:val="20"/>
          <w:szCs w:val="20"/>
        </w:rPr>
        <w:t xml:space="preserve">Force Majeure. </w:t>
      </w:r>
      <w:r>
        <w:rPr>
          <w:rFonts w:ascii="Calibri" w:cs="Calibri" w:eastAsia="Calibri" w:hAnsi="Calibri"/>
          <w:color w:val="000000"/>
          <w:sz w:val="20"/>
          <w:szCs w:val="20"/>
        </w:rPr>
        <w:t xml:space="preserve">Crucible Insight shall not be liable for any failure or delay in performance resulting from causes beyond its reasonable control, including acts of God, government actions, internet outages, or cyberattacks.</w:t>
      </w:r>
    </w:p>
    <w:p>
      <w:pPr>
        <w:spacing w:after="100" w:before="80"/>
        <w:jc w:val="both"/>
      </w:pPr>
      <w:r>
        <w:rPr>
          <w:rFonts w:ascii="Calibri" w:cs="Calibri" w:eastAsia="Calibri" w:hAnsi="Calibri"/>
          <w:b/>
          <w:bCs/>
          <w:color w:val="000000"/>
          <w:sz w:val="20"/>
          <w:szCs w:val="20"/>
        </w:rPr>
        <w:t xml:space="preserve">No Third-Party Beneficiaries. </w:t>
      </w:r>
      <w:r>
        <w:rPr>
          <w:rFonts w:ascii="Calibri" w:cs="Calibri" w:eastAsia="Calibri" w:hAnsi="Calibri"/>
          <w:color w:val="000000"/>
          <w:sz w:val="20"/>
          <w:szCs w:val="20"/>
        </w:rPr>
        <w:t xml:space="preserve">This Agreement does not create any third-party beneficiary rights.</w:t>
      </w:r>
    </w:p>
    <w:p>
      <w:pPr>
        <w:spacing w:after="100" w:before="80"/>
        <w:jc w:val="both"/>
      </w:pPr>
      <w:r>
        <w:rPr>
          <w:rFonts w:ascii="Calibri" w:cs="Calibri" w:eastAsia="Calibri" w:hAnsi="Calibri"/>
          <w:b/>
          <w:bCs/>
          <w:color w:val="000000"/>
          <w:sz w:val="20"/>
          <w:szCs w:val="20"/>
        </w:rPr>
        <w:t xml:space="preserve">Notices. </w:t>
      </w:r>
      <w:r>
        <w:rPr>
          <w:rFonts w:ascii="Calibri" w:cs="Calibri" w:eastAsia="Calibri" w:hAnsi="Calibri"/>
          <w:color w:val="000000"/>
          <w:sz w:val="20"/>
          <w:szCs w:val="20"/>
        </w:rPr>
        <w:t xml:space="preserve">Legal notices to Crucible Insight shall be delivered to The Daniel Group LLC d/b/a Crucible Insight, Arizona, USA, with a copy to the registered email address of the Crucible Insight account administrator.</w:t>
      </w:r>
    </w:p>
    <w:p>
      <w:pPr>
        <w:spacing w:before="200"/>
      </w:pPr>
    </w:p>
    <w:p>
      <w:pPr>
        <w:pBdr>
          <w:bottom w:val="single" w:color="B8960C" w:sz="6"/>
        </w:pBdr>
        <w:spacing w:after="200" w:before="200"/>
      </w:pPr>
    </w:p>
    <w:p>
      <w:pPr>
        <w:spacing w:before="80"/>
      </w:pPr>
    </w:p>
    <w:p>
      <w:r>
        <w:br w:type="page"/>
      </w:r>
    </w:p>
    <w:p>
      <w:pPr>
        <w:spacing w:before="200"/>
      </w:pPr>
    </w:p>
    <w:p>
      <w:pPr>
        <w:spacing w:after="80" w:before="0"/>
        <w:jc w:val="center"/>
      </w:pPr>
      <w:r>
        <w:rPr>
          <w:rFonts w:ascii="Calibri" w:cs="Calibri" w:eastAsia="Calibri" w:hAnsi="Calibri"/>
          <w:b/>
          <w:bCs/>
          <w:color w:val="1B2A4A"/>
          <w:sz w:val="32"/>
          <w:szCs w:val="32"/>
        </w:rPr>
        <w:t xml:space="preserve">MUTUAL NON-DISCLOSURE AGREEMENT</w:t>
      </w:r>
    </w:p>
    <w:p>
      <w:pPr>
        <w:spacing w:after="60" w:before="0"/>
        <w:jc w:val="center"/>
      </w:pPr>
      <w:r>
        <w:rPr>
          <w:rFonts w:ascii="Calibri" w:cs="Calibri" w:eastAsia="Calibri" w:hAnsi="Calibri"/>
          <w:i/>
          <w:iCs/>
          <w:color w:val="4A4A4A"/>
          <w:sz w:val="22"/>
          <w:szCs w:val="22"/>
        </w:rPr>
        <w:t xml:space="preserve">Effective July 7, 2026</w:t>
      </w:r>
    </w:p>
    <w:p>
      <w:pPr>
        <w:spacing w:after="60" w:before="0"/>
        <w:jc w:val="center"/>
      </w:pPr>
      <w:r>
        <w:rPr>
          <w:rFonts w:ascii="Calibri" w:cs="Calibri" w:eastAsia="Calibri" w:hAnsi="Calibri"/>
          <w:i/>
          <w:iCs/>
          <w:color w:val="4A4A4A"/>
          <w:sz w:val="22"/>
          <w:szCs w:val="22"/>
        </w:rPr>
        <w:t xml:space="preserve">The Daniel Group LLC d/b/a Crucible Insight  |  and  |  User</w:t>
      </w:r>
    </w:p>
    <w:p>
      <w:pPr>
        <w:pBdr>
          <w:bottom w:val="single" w:color="B8960C" w:sz="6"/>
        </w:pBdr>
        <w:spacing w:after="200" w:before="200"/>
      </w:pPr>
    </w:p>
    <w:p>
      <w:pPr>
        <w:spacing w:before="80"/>
      </w:pPr>
    </w:p>
    <w:p>
      <w:pPr>
        <w:spacing w:after="100" w:before="80"/>
        <w:jc w:val="both"/>
      </w:pPr>
      <w:r>
        <w:rPr>
          <w:rFonts w:ascii="Calibri" w:cs="Calibri" w:eastAsia="Calibri" w:hAnsi="Calibri"/>
          <w:b w:val="false"/>
          <w:bCs w:val="false"/>
          <w:i w:val="false"/>
          <w:iCs w:val="false"/>
          <w:color w:val="000000"/>
          <w:sz w:val="20"/>
          <w:szCs w:val="20"/>
        </w:rPr>
        <w:t xml:space="preserve">This Mutual Non-Disclosure Agreement ("NDA" or "Agreement") is entered into as of the date of account creation or first access to the Service, whichever is earlier ("Effective Date"), by and between The Daniel Group LLC, an Arizona limited liability company doing business as Crucible Insight ("Crucible Insight"), and the User as identified in the DARA account registration ("User"). Each party may be referred to herein individually as a "Party" or collectively as the "Parties."</w:t>
      </w:r>
    </w:p>
    <w:p>
      <w:pPr>
        <w:spacing w:before="80"/>
      </w:pPr>
    </w:p>
    <w:p>
      <w:pPr>
        <w:pStyle w:val="Heading1"/>
        <w:spacing w:after="120" w:before="360"/>
      </w:pPr>
      <w:r>
        <w:rPr>
          <w:rFonts w:ascii="Calibri" w:cs="Calibri" w:eastAsia="Calibri" w:hAnsi="Calibri"/>
          <w:b/>
          <w:bCs/>
          <w:color w:val="1B2A4A"/>
          <w:sz w:val="28"/>
          <w:szCs w:val="28"/>
        </w:rPr>
        <w:t xml:space="preserve">1. PURPOSE</w:t>
      </w:r>
    </w:p>
    <w:p>
      <w:pPr>
        <w:spacing w:after="100" w:before="80"/>
        <w:jc w:val="both"/>
      </w:pPr>
      <w:r>
        <w:rPr>
          <w:rFonts w:ascii="Calibri" w:cs="Calibri" w:eastAsia="Calibri" w:hAnsi="Calibri"/>
          <w:b w:val="false"/>
          <w:bCs w:val="false"/>
          <w:i w:val="false"/>
          <w:iCs w:val="false"/>
          <w:color w:val="000000"/>
          <w:sz w:val="20"/>
          <w:szCs w:val="20"/>
        </w:rPr>
        <w:t xml:space="preserve">The Parties wish to explore and engage in a business relationship involving the use of the DARA platform. In connection with this relationship, each Party may disclose to the other certain Confidential Information (as defined below). This Agreement establishes the terms governing the use and protection of each Party's Confidential Information.</w:t>
      </w:r>
    </w:p>
    <w:p>
      <w:pPr>
        <w:pStyle w:val="Heading1"/>
        <w:spacing w:after="120" w:before="360"/>
      </w:pPr>
      <w:r>
        <w:rPr>
          <w:rFonts w:ascii="Calibri" w:cs="Calibri" w:eastAsia="Calibri" w:hAnsi="Calibri"/>
          <w:b/>
          <w:bCs/>
          <w:color w:val="1B2A4A"/>
          <w:sz w:val="28"/>
          <w:szCs w:val="28"/>
        </w:rPr>
        <w:t xml:space="preserve">2. DEFINITION OF CONFIDENTIAL INFORMATION</w:t>
      </w:r>
    </w:p>
    <w:p>
      <w:pPr>
        <w:spacing w:after="100" w:before="80"/>
        <w:jc w:val="both"/>
      </w:pPr>
      <w:r>
        <w:rPr>
          <w:rFonts w:ascii="Calibri" w:cs="Calibri" w:eastAsia="Calibri" w:hAnsi="Calibri"/>
          <w:b w:val="false"/>
          <w:bCs w:val="false"/>
          <w:i w:val="false"/>
          <w:iCs w:val="false"/>
          <w:color w:val="000000"/>
          <w:sz w:val="20"/>
          <w:szCs w:val="20"/>
        </w:rPr>
        <w:t xml:space="preserve">"Confidential Information" means any non-public information disclosed by one Party (the "Disclosing Party") to the other Party (the "Receiving Party"), whether disclosed orally, in writing, electronically, or by any other means, that is designated as confidential or that reasonably should be understood to be confidential given the nature of the information and the circumstances of disclosure.</w:t>
      </w:r>
    </w:p>
    <w:p>
      <w:pPr>
        <w:spacing w:after="100" w:before="80"/>
        <w:jc w:val="both"/>
      </w:pPr>
      <w:r>
        <w:rPr>
          <w:rFonts w:ascii="Calibri" w:cs="Calibri" w:eastAsia="Calibri" w:hAnsi="Calibri"/>
          <w:b w:val="false"/>
          <w:bCs w:val="false"/>
          <w:i w:val="false"/>
          <w:iCs w:val="false"/>
          <w:color w:val="000000"/>
          <w:sz w:val="20"/>
          <w:szCs w:val="20"/>
        </w:rPr>
        <w:t xml:space="preserve">Crucible Insight's Confidential Information includes, without limitation:</w:t>
      </w:r>
    </w:p>
    <w:p>
      <w:pPr>
        <w:pStyle w:val="ListParagraph"/>
        <w:numPr>
          <w:ilvl w:val="0"/>
          <w:numId w:val="1"/>
        </w:numPr>
        <w:spacing w:after="60" w:before="60"/>
        <w:ind w:left="576" w:hanging="288"/>
      </w:pPr>
      <w:r>
        <w:rPr>
          <w:rFonts w:ascii="Calibri" w:cs="Calibri" w:eastAsia="Calibri" w:hAnsi="Calibri"/>
          <w:color w:val="000000"/>
          <w:sz w:val="20"/>
          <w:szCs w:val="20"/>
        </w:rPr>
        <w:t xml:space="preserve">The identity, account details, and usage patterns of any User or prospective user of the Service (the User base);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The proprietary methodologies, algorithms, scoring models, analytical frameworks, and prompt architectures underlying DARA;</w:t>
      </w:r>
    </w:p>
    <w:p>
      <w:pPr>
        <w:pStyle w:val="ListParagraph"/>
        <w:numPr>
          <w:ilvl w:val="0"/>
          <w:numId w:val="1"/>
        </w:numPr>
        <w:spacing w:after="60" w:before="60"/>
        <w:ind w:left="576" w:hanging="288"/>
      </w:pPr>
      <w:r>
        <w:rPr>
          <w:rFonts w:ascii="Calibri" w:cs="Calibri" w:eastAsia="Calibri" w:hAnsi="Calibri"/>
          <w:color w:val="000000"/>
          <w:sz w:val="20"/>
          <w:szCs w:val="20"/>
        </w:rPr>
        <w:t xml:space="preserve">Product roadmaps, pricing structures, business strategies, and financial information;</w:t>
      </w:r>
    </w:p>
    <w:p>
      <w:pPr>
        <w:pStyle w:val="ListParagraph"/>
        <w:numPr>
          <w:ilvl w:val="0"/>
          <w:numId w:val="1"/>
        </w:numPr>
        <w:spacing w:after="60" w:before="60"/>
        <w:ind w:left="576" w:hanging="288"/>
      </w:pPr>
      <w:r>
        <w:rPr>
          <w:rFonts w:ascii="Calibri" w:cs="Calibri" w:eastAsia="Calibri" w:hAnsi="Calibri"/>
          <w:color w:val="000000"/>
          <w:sz w:val="20"/>
          <w:szCs w:val="20"/>
        </w:rPr>
        <w:t xml:space="preserve">Technical architecture, source code, infrastructure configuration, and security design; and</w:t>
      </w:r>
    </w:p>
    <w:p>
      <w:pPr>
        <w:pStyle w:val="ListParagraph"/>
        <w:numPr>
          <w:ilvl w:val="0"/>
          <w:numId w:val="1"/>
        </w:numPr>
        <w:spacing w:after="60" w:before="60"/>
        <w:ind w:left="576" w:hanging="288"/>
      </w:pPr>
      <w:r>
        <w:rPr>
          <w:rFonts w:ascii="Calibri" w:cs="Calibri" w:eastAsia="Calibri" w:hAnsi="Calibri"/>
          <w:color w:val="000000"/>
          <w:sz w:val="20"/>
          <w:szCs w:val="20"/>
        </w:rPr>
        <w:t xml:space="preserve">Any information designated as confidential by Crucible Insight in writing.</w:t>
      </w:r>
    </w:p>
    <w:p>
      <w:pPr>
        <w:spacing w:before="60"/>
      </w:pPr>
    </w:p>
    <w:p>
      <w:pPr>
        <w:spacing w:after="100" w:before="80"/>
        <w:jc w:val="both"/>
      </w:pPr>
      <w:r>
        <w:rPr>
          <w:rFonts w:ascii="Calibri" w:cs="Calibri" w:eastAsia="Calibri" w:hAnsi="Calibri"/>
          <w:b w:val="false"/>
          <w:bCs w:val="false"/>
          <w:i w:val="false"/>
          <w:iCs w:val="false"/>
          <w:color w:val="000000"/>
          <w:sz w:val="20"/>
          <w:szCs w:val="20"/>
        </w:rPr>
        <w:t xml:space="preserve">User's Confidential Information includes, without limitation:</w:t>
      </w:r>
    </w:p>
    <w:p>
      <w:pPr>
        <w:pStyle w:val="ListParagraph"/>
        <w:numPr>
          <w:ilvl w:val="0"/>
          <w:numId w:val="1"/>
        </w:numPr>
        <w:spacing w:after="60" w:before="60"/>
        <w:ind w:left="576" w:hanging="288"/>
      </w:pPr>
      <w:r>
        <w:rPr>
          <w:rFonts w:ascii="Calibri" w:cs="Calibri" w:eastAsia="Calibri" w:hAnsi="Calibri"/>
          <w:color w:val="000000"/>
          <w:sz w:val="20"/>
          <w:szCs w:val="20"/>
        </w:rPr>
        <w:t xml:space="preserve">Proposal strategies, win themes, competitive positioning, and pricing approaches submitted to or developed using the Service;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Past performance data, contract details, and performance narratives submitted as Input;</w:t>
      </w:r>
    </w:p>
    <w:p>
      <w:pPr>
        <w:pStyle w:val="ListParagraph"/>
        <w:numPr>
          <w:ilvl w:val="0"/>
          <w:numId w:val="1"/>
        </w:numPr>
        <w:spacing w:after="60" w:before="60"/>
        <w:ind w:left="576" w:hanging="288"/>
      </w:pPr>
      <w:r>
        <w:rPr>
          <w:rFonts w:ascii="Calibri" w:cs="Calibri" w:eastAsia="Calibri" w:hAnsi="Calibri"/>
          <w:color w:val="000000"/>
          <w:sz w:val="20"/>
          <w:szCs w:val="20"/>
        </w:rPr>
        <w:t xml:space="preserve">Business development intelligence, teaming relationships, and pipeline information; and</w:t>
      </w:r>
    </w:p>
    <w:p>
      <w:pPr>
        <w:pStyle w:val="ListParagraph"/>
        <w:numPr>
          <w:ilvl w:val="0"/>
          <w:numId w:val="1"/>
        </w:numPr>
        <w:spacing w:after="60" w:before="60"/>
        <w:ind w:left="576" w:hanging="288"/>
      </w:pPr>
      <w:r>
        <w:rPr>
          <w:rFonts w:ascii="Calibri" w:cs="Calibri" w:eastAsia="Calibri" w:hAnsi="Calibri"/>
          <w:color w:val="000000"/>
          <w:sz w:val="20"/>
          <w:szCs w:val="20"/>
        </w:rPr>
        <w:t xml:space="preserve">Any information designated as confidential by User in writing.</w:t>
      </w:r>
    </w:p>
    <w:p>
      <w:pPr>
        <w:pStyle w:val="Heading1"/>
        <w:spacing w:after="120" w:before="360"/>
      </w:pPr>
      <w:r>
        <w:rPr>
          <w:rFonts w:ascii="Calibri" w:cs="Calibri" w:eastAsia="Calibri" w:hAnsi="Calibri"/>
          <w:b/>
          <w:bCs/>
          <w:color w:val="1B2A4A"/>
          <w:sz w:val="28"/>
          <w:szCs w:val="28"/>
        </w:rPr>
        <w:t xml:space="preserve">3. OBLIGATIONS OF RECEIVING PARTY</w:t>
      </w:r>
    </w:p>
    <w:p>
      <w:pPr>
        <w:spacing w:after="100" w:before="80"/>
        <w:jc w:val="both"/>
      </w:pPr>
      <w:r>
        <w:rPr>
          <w:rFonts w:ascii="Calibri" w:cs="Calibri" w:eastAsia="Calibri" w:hAnsi="Calibri"/>
          <w:b w:val="false"/>
          <w:bCs w:val="false"/>
          <w:i w:val="false"/>
          <w:iCs w:val="false"/>
          <w:color w:val="000000"/>
          <w:sz w:val="20"/>
          <w:szCs w:val="20"/>
        </w:rPr>
        <w:t xml:space="preserve">Each Receiving Party agrees to:</w:t>
      </w:r>
    </w:p>
    <w:p>
      <w:pPr>
        <w:pStyle w:val="ListParagraph"/>
        <w:numPr>
          <w:ilvl w:val="0"/>
          <w:numId w:val="1"/>
        </w:numPr>
        <w:spacing w:after="60" w:before="60"/>
        <w:ind w:left="576" w:hanging="288"/>
      </w:pPr>
      <w:r>
        <w:rPr>
          <w:rFonts w:ascii="Calibri" w:cs="Calibri" w:eastAsia="Calibri" w:hAnsi="Calibri"/>
          <w:color w:val="000000"/>
          <w:sz w:val="20"/>
          <w:szCs w:val="20"/>
        </w:rPr>
        <w:t xml:space="preserve">Hold the Disclosing Party's Confidential Information in strict confidence using at least the same degree of care it uses to protect its own confidential information, but in no event less than reasonable care;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Not disclose the Disclosing Party's Confidential Information to any third party without the Disclosing Party's prior written consent;</w:t>
      </w:r>
    </w:p>
    <w:p>
      <w:pPr>
        <w:pStyle w:val="ListParagraph"/>
        <w:numPr>
          <w:ilvl w:val="0"/>
          <w:numId w:val="1"/>
        </w:numPr>
        <w:spacing w:after="60" w:before="60"/>
        <w:ind w:left="576" w:hanging="288"/>
      </w:pPr>
      <w:r>
        <w:rPr>
          <w:rFonts w:ascii="Calibri" w:cs="Calibri" w:eastAsia="Calibri" w:hAnsi="Calibri"/>
          <w:color w:val="000000"/>
          <w:sz w:val="20"/>
          <w:szCs w:val="20"/>
        </w:rPr>
        <w:t xml:space="preserve">Use the Disclosing Party's Confidential Information solely for the purpose of the business relationship contemplated herein and not for any other purpose;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Limit access to Confidential Information to those personnel, agents, or contractors who have a need to know for the purposes of this Agreement and who are bound by confidentiality obligations at least as protective as those in this Agreement; and</w:t>
      </w:r>
    </w:p>
    <w:p>
      <w:pPr>
        <w:pStyle w:val="ListParagraph"/>
        <w:numPr>
          <w:ilvl w:val="0"/>
          <w:numId w:val="1"/>
        </w:numPr>
        <w:spacing w:after="60" w:before="60"/>
        <w:ind w:left="576" w:hanging="288"/>
      </w:pPr>
      <w:r>
        <w:rPr>
          <w:rFonts w:ascii="Calibri" w:cs="Calibri" w:eastAsia="Calibri" w:hAnsi="Calibri"/>
          <w:color w:val="000000"/>
          <w:sz w:val="20"/>
          <w:szCs w:val="20"/>
        </w:rPr>
        <w:t xml:space="preserve">Promptly notify the Disclosing Party upon discovery of any unauthorized use or disclosure of Confidential Information.</w:t>
      </w:r>
    </w:p>
    <w:p>
      <w:pPr>
        <w:pStyle w:val="Heading1"/>
        <w:spacing w:after="120" w:before="360"/>
      </w:pPr>
      <w:r>
        <w:rPr>
          <w:rFonts w:ascii="Calibri" w:cs="Calibri" w:eastAsia="Calibri" w:hAnsi="Calibri"/>
          <w:b/>
          <w:bCs/>
          <w:color w:val="1B2A4A"/>
          <w:sz w:val="28"/>
          <w:szCs w:val="28"/>
        </w:rPr>
        <w:t xml:space="preserve">4. EXCLUSIONS</w:t>
      </w:r>
    </w:p>
    <w:p>
      <w:pPr>
        <w:spacing w:after="100" w:before="80"/>
        <w:jc w:val="both"/>
      </w:pPr>
      <w:r>
        <w:rPr>
          <w:rFonts w:ascii="Calibri" w:cs="Calibri" w:eastAsia="Calibri" w:hAnsi="Calibri"/>
          <w:b w:val="false"/>
          <w:bCs w:val="false"/>
          <w:i w:val="false"/>
          <w:iCs w:val="false"/>
          <w:color w:val="000000"/>
          <w:sz w:val="20"/>
          <w:szCs w:val="20"/>
        </w:rPr>
        <w:t xml:space="preserve">The obligations in Section 3 do not apply to information that the Receiving Party can demonstrate: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Was already in the Receiving Party's possession prior to disclosure, free of any obligation of confidence;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Is or becomes publicly available through no fault of the Receiving Party;</w:t>
      </w:r>
    </w:p>
    <w:p>
      <w:pPr>
        <w:pStyle w:val="ListParagraph"/>
        <w:numPr>
          <w:ilvl w:val="0"/>
          <w:numId w:val="1"/>
        </w:numPr>
        <w:spacing w:after="60" w:before="60"/>
        <w:ind w:left="576" w:hanging="288"/>
      </w:pPr>
      <w:r>
        <w:rPr>
          <w:rFonts w:ascii="Calibri" w:cs="Calibri" w:eastAsia="Calibri" w:hAnsi="Calibri"/>
          <w:color w:val="000000"/>
          <w:sz w:val="20"/>
          <w:szCs w:val="20"/>
        </w:rPr>
        <w:t xml:space="preserve">Is independently developed by the Receiving Party without use of or reference to the Disclosing Party's Confidential Information; or</w:t>
      </w:r>
    </w:p>
    <w:p>
      <w:pPr>
        <w:pStyle w:val="ListParagraph"/>
        <w:numPr>
          <w:ilvl w:val="0"/>
          <w:numId w:val="1"/>
        </w:numPr>
        <w:spacing w:after="60" w:before="60"/>
        <w:ind w:left="576" w:hanging="288"/>
      </w:pPr>
      <w:r>
        <w:rPr>
          <w:rFonts w:ascii="Calibri" w:cs="Calibri" w:eastAsia="Calibri" w:hAnsi="Calibri"/>
          <w:color w:val="000000"/>
          <w:sz w:val="20"/>
          <w:szCs w:val="20"/>
        </w:rPr>
        <w:t xml:space="preserve">Is received from a third party without restriction and without breach of any obligation owed to the Disclosing Party.</w:t>
      </w:r>
    </w:p>
    <w:p>
      <w:pPr>
        <w:spacing w:before="60"/>
      </w:pPr>
    </w:p>
    <w:p>
      <w:pPr>
        <w:spacing w:after="100" w:before="80"/>
        <w:jc w:val="both"/>
      </w:pPr>
      <w:r>
        <w:rPr>
          <w:rFonts w:ascii="Calibri" w:cs="Calibri" w:eastAsia="Calibri" w:hAnsi="Calibri"/>
          <w:b w:val="false"/>
          <w:bCs w:val="false"/>
          <w:i w:val="false"/>
          <w:iCs w:val="false"/>
          <w:color w:val="000000"/>
          <w:sz w:val="20"/>
          <w:szCs w:val="20"/>
        </w:rPr>
        <w:t xml:space="preserve">Disclosure required by law, regulation, court order, or valid legal process is permitted provided the Receiving Party: (a) provides the Disclosing Party prompt prior written notice (to the extent legally permissible); (b) cooperates with the Disclosing Party's efforts to seek a protective order or other appropriate relief; and (c) discloses only the minimum information required.</w:t>
      </w:r>
    </w:p>
    <w:p>
      <w:pPr>
        <w:pStyle w:val="Heading1"/>
        <w:spacing w:after="120" w:before="360"/>
      </w:pPr>
      <w:r>
        <w:rPr>
          <w:rFonts w:ascii="Calibri" w:cs="Calibri" w:eastAsia="Calibri" w:hAnsi="Calibri"/>
          <w:b/>
          <w:bCs/>
          <w:color w:val="1B2A4A"/>
          <w:sz w:val="28"/>
          <w:szCs w:val="28"/>
        </w:rPr>
        <w:t xml:space="preserve">5. CRUCIBLE INSIGHT USER BASE PROTECTION</w:t>
      </w:r>
    </w:p>
    <w:p>
      <w:pPr>
        <w:spacing w:after="100" w:before="80"/>
        <w:jc w:val="both"/>
      </w:pPr>
      <w:r>
        <w:rPr>
          <w:rFonts w:ascii="Calibri" w:cs="Calibri" w:eastAsia="Calibri" w:hAnsi="Calibri"/>
          <w:b w:val="false"/>
          <w:bCs w:val="false"/>
          <w:i w:val="false"/>
          <w:iCs w:val="false"/>
          <w:color w:val="000000"/>
          <w:sz w:val="20"/>
          <w:szCs w:val="20"/>
        </w:rPr>
        <w:t xml:space="preserve">Notwithstanding any other provision of this Agreement, Crucible Insight's obligation to protect the confidentiality of its user base is absolute. Crucible Insight will not disclose the identity of any User, the existence of any User's account, or any information that could reasonably be used to identify a User, to any third party under any circumstances except as expressly required by a valid court order or applicable law after exhaustion of all available legal objections. This obligation survives termination of this Agreement without limitation.</w:t>
      </w:r>
    </w:p>
    <w:p>
      <w:pPr>
        <w:pStyle w:val="Heading1"/>
        <w:spacing w:after="120" w:before="360"/>
      </w:pPr>
      <w:r>
        <w:rPr>
          <w:rFonts w:ascii="Calibri" w:cs="Calibri" w:eastAsia="Calibri" w:hAnsi="Calibri"/>
          <w:b/>
          <w:bCs/>
          <w:color w:val="1B2A4A"/>
          <w:sz w:val="28"/>
          <w:szCs w:val="28"/>
        </w:rPr>
        <w:t xml:space="preserve">6. NO LICENSE</w:t>
      </w:r>
    </w:p>
    <w:p>
      <w:pPr>
        <w:spacing w:after="100" w:before="80"/>
        <w:jc w:val="both"/>
      </w:pPr>
      <w:r>
        <w:rPr>
          <w:rFonts w:ascii="Calibri" w:cs="Calibri" w:eastAsia="Calibri" w:hAnsi="Calibri"/>
          <w:b w:val="false"/>
          <w:bCs w:val="false"/>
          <w:i w:val="false"/>
          <w:iCs w:val="false"/>
          <w:color w:val="000000"/>
          <w:sz w:val="20"/>
          <w:szCs w:val="20"/>
        </w:rPr>
        <w:t xml:space="preserve">Nothing in this Agreement grants either Party any right, title, or interest in or to the other Party's Confidential Information, or any license under any patent, copyright, trade secret, or other intellectual property right.</w:t>
      </w:r>
    </w:p>
    <w:p>
      <w:pPr>
        <w:pStyle w:val="Heading1"/>
        <w:spacing w:after="120" w:before="360"/>
      </w:pPr>
      <w:r>
        <w:rPr>
          <w:rFonts w:ascii="Calibri" w:cs="Calibri" w:eastAsia="Calibri" w:hAnsi="Calibri"/>
          <w:b/>
          <w:bCs/>
          <w:color w:val="1B2A4A"/>
          <w:sz w:val="28"/>
          <w:szCs w:val="28"/>
        </w:rPr>
        <w:t xml:space="preserve">7. RETURN OR DESTRUCTION</w:t>
      </w:r>
    </w:p>
    <w:p>
      <w:pPr>
        <w:spacing w:after="100" w:before="80"/>
        <w:jc w:val="both"/>
      </w:pPr>
      <w:r>
        <w:rPr>
          <w:rFonts w:ascii="Calibri" w:cs="Calibri" w:eastAsia="Calibri" w:hAnsi="Calibri"/>
          <w:b w:val="false"/>
          <w:bCs w:val="false"/>
          <w:i w:val="false"/>
          <w:iCs w:val="false"/>
          <w:color w:val="000000"/>
          <w:sz w:val="20"/>
          <w:szCs w:val="20"/>
        </w:rPr>
        <w:t xml:space="preserve">Upon the Disclosing Party's written request or upon termination of the business relationship, the Receiving Party shall promptly return or destroy all Confidential Information of the Disclosing Party in its possession, and shall certify in writing that it has done so. Crucible Insight's obligations under this Section are subject to the data retention and deletion provisions of the Terms of Service.</w:t>
      </w:r>
    </w:p>
    <w:p>
      <w:pPr>
        <w:pStyle w:val="Heading1"/>
        <w:spacing w:after="120" w:before="360"/>
      </w:pPr>
      <w:r>
        <w:rPr>
          <w:rFonts w:ascii="Calibri" w:cs="Calibri" w:eastAsia="Calibri" w:hAnsi="Calibri"/>
          <w:b/>
          <w:bCs/>
          <w:color w:val="1B2A4A"/>
          <w:sz w:val="28"/>
          <w:szCs w:val="28"/>
        </w:rPr>
        <w:t xml:space="preserve">8. TERM</w:t>
      </w:r>
    </w:p>
    <w:p>
      <w:pPr>
        <w:spacing w:after="100" w:before="80"/>
        <w:jc w:val="both"/>
      </w:pPr>
      <w:r>
        <w:rPr>
          <w:rFonts w:ascii="Calibri" w:cs="Calibri" w:eastAsia="Calibri" w:hAnsi="Calibri"/>
          <w:b w:val="false"/>
          <w:bCs w:val="false"/>
          <w:i w:val="false"/>
          <w:iCs w:val="false"/>
          <w:color w:val="000000"/>
          <w:sz w:val="20"/>
          <w:szCs w:val="20"/>
        </w:rPr>
        <w:t xml:space="preserve">This Agreement is effective as of the Effective Date and continues for so long as the User maintains an account with the Service, plus a period of five (5) years following account termination. Obligations with respect to trade secrets survive indefinitely.</w:t>
      </w:r>
    </w:p>
    <w:p>
      <w:pPr>
        <w:pStyle w:val="Heading1"/>
        <w:spacing w:after="120" w:before="360"/>
      </w:pPr>
      <w:r>
        <w:rPr>
          <w:rFonts w:ascii="Calibri" w:cs="Calibri" w:eastAsia="Calibri" w:hAnsi="Calibri"/>
          <w:b/>
          <w:bCs/>
          <w:color w:val="1B2A4A"/>
          <w:sz w:val="28"/>
          <w:szCs w:val="28"/>
        </w:rPr>
        <w:t xml:space="preserve">9. REMEDIES</w:t>
      </w:r>
    </w:p>
    <w:p>
      <w:pPr>
        <w:spacing w:after="100" w:before="80"/>
        <w:jc w:val="both"/>
      </w:pPr>
      <w:r>
        <w:rPr>
          <w:rFonts w:ascii="Calibri" w:cs="Calibri" w:eastAsia="Calibri" w:hAnsi="Calibri"/>
          <w:b w:val="false"/>
          <w:bCs w:val="false"/>
          <w:i w:val="false"/>
          <w:iCs w:val="false"/>
          <w:color w:val="000000"/>
          <w:sz w:val="20"/>
          <w:szCs w:val="20"/>
        </w:rPr>
        <w:t xml:space="preserve">Each Party acknowledges that a breach of this Agreement may cause irreparable harm for which monetary damages would be an inadequate remedy. Each Party therefore agrees that the non-breaching Party is entitled to seek injunctive or other equitable relief in addition to all other remedies available at law or in equity, without the requirement to post a bond.</w:t>
      </w:r>
    </w:p>
    <w:p>
      <w:pPr>
        <w:pStyle w:val="Heading1"/>
        <w:spacing w:after="120" w:before="360"/>
      </w:pPr>
      <w:r>
        <w:rPr>
          <w:rFonts w:ascii="Calibri" w:cs="Calibri" w:eastAsia="Calibri" w:hAnsi="Calibri"/>
          <w:b/>
          <w:bCs/>
          <w:color w:val="1B2A4A"/>
          <w:sz w:val="28"/>
          <w:szCs w:val="28"/>
        </w:rPr>
        <w:t xml:space="preserve">10. GOVERNING LAW</w:t>
      </w:r>
    </w:p>
    <w:p>
      <w:pPr>
        <w:spacing w:after="100" w:before="80"/>
        <w:jc w:val="both"/>
      </w:pPr>
      <w:r>
        <w:rPr>
          <w:rFonts w:ascii="Calibri" w:cs="Calibri" w:eastAsia="Calibri" w:hAnsi="Calibri"/>
          <w:b w:val="false"/>
          <w:bCs w:val="false"/>
          <w:i w:val="false"/>
          <w:iCs w:val="false"/>
          <w:color w:val="000000"/>
          <w:sz w:val="20"/>
          <w:szCs w:val="20"/>
        </w:rPr>
        <w:t xml:space="preserve">This Agreement is governed by the laws of the State of Arizona, without regard to conflict-of-law principles. Disputes shall be resolved exclusively in the state or federal courts of Maricopa County, Arizona.</w:t>
      </w:r>
    </w:p>
    <w:p>
      <w:pPr>
        <w:pStyle w:val="Heading1"/>
        <w:spacing w:after="120" w:before="360"/>
      </w:pPr>
      <w:r>
        <w:rPr>
          <w:rFonts w:ascii="Calibri" w:cs="Calibri" w:eastAsia="Calibri" w:hAnsi="Calibri"/>
          <w:b/>
          <w:bCs/>
          <w:color w:val="1B2A4A"/>
          <w:sz w:val="28"/>
          <w:szCs w:val="28"/>
        </w:rPr>
        <w:t xml:space="preserve">11. ENTIRE AGREEMENT</w:t>
      </w:r>
    </w:p>
    <w:p>
      <w:pPr>
        <w:spacing w:after="100" w:before="80"/>
        <w:jc w:val="both"/>
      </w:pPr>
      <w:r>
        <w:rPr>
          <w:rFonts w:ascii="Calibri" w:cs="Calibri" w:eastAsia="Calibri" w:hAnsi="Calibri"/>
          <w:b w:val="false"/>
          <w:bCs w:val="false"/>
          <w:i w:val="false"/>
          <w:iCs w:val="false"/>
          <w:color w:val="000000"/>
          <w:sz w:val="20"/>
          <w:szCs w:val="20"/>
        </w:rPr>
        <w:t xml:space="preserve">This Agreement constitutes the entire agreement between the Parties regarding confidentiality of information disclosed in connection with the Service and supersedes all prior agreements and understandings on the subject matter hereof. This Agreement is incorporated by reference into the DARA Terms of Service.</w:t>
      </w:r>
    </w:p>
    <w:p>
      <w:pPr>
        <w:spacing w:before="160"/>
      </w:pPr>
    </w:p>
    <w:p>
      <w:pPr>
        <w:spacing w:after="100" w:before="80"/>
        <w:jc w:val="left"/>
      </w:pPr>
      <w:r>
        <w:rPr>
          <w:rFonts w:ascii="Calibri" w:cs="Calibri" w:eastAsia="Calibri" w:hAnsi="Calibri"/>
          <w:b/>
          <w:bCs/>
          <w:i w:val="false"/>
          <w:iCs w:val="false"/>
          <w:color w:val="000000"/>
          <w:sz w:val="20"/>
          <w:szCs w:val="20"/>
        </w:rPr>
        <w:t xml:space="preserve">BY ACCESSING THE SERVICE, EACH PARTY AGREES TO BE BOUND BY THIS MUTUAL NON-DISCLOSURE AGREEMENT.</w:t>
      </w:r>
    </w:p>
    <w:p>
      <w:pPr>
        <w:spacing w:before="80"/>
      </w:pPr>
    </w:p>
    <w:p>
      <w:pPr>
        <w:spacing w:after="40" w:before="300"/>
      </w:pPr>
      <w:r>
        <w:rPr>
          <w:rFonts w:ascii="Calibri" w:cs="Calibri" w:eastAsia="Calibri" w:hAnsi="Calibri"/>
          <w:b/>
          <w:bCs/>
          <w:sz w:val="20"/>
          <w:szCs w:val="20"/>
        </w:rPr>
        <w:t xml:space="preserve">Crucible Insight — Authorized Representative: </w:t>
      </w:r>
      <w:r>
        <w:rPr>
          <w:rFonts w:ascii="Calibri" w:cs="Calibri" w:eastAsia="Calibri" w:hAnsi="Calibri"/>
          <w:sz w:val="20"/>
          <w:szCs w:val="20"/>
        </w:rPr>
        <w:t xml:space="preserve">_____________________________________________</w:t>
      </w:r>
    </w:p>
    <w:p>
      <w:pPr>
        <w:spacing w:after="200" w:before="60"/>
      </w:pPr>
      <w:r>
        <w:rPr>
          <w:rFonts w:ascii="Calibri" w:cs="Calibri" w:eastAsia="Calibri" w:hAnsi="Calibri"/>
          <w:b/>
          <w:bCs/>
          <w:sz w:val="20"/>
          <w:szCs w:val="20"/>
        </w:rPr>
        <w:t xml:space="preserve">Date: </w:t>
      </w:r>
      <w:r>
        <w:rPr>
          <w:rFonts w:ascii="Calibri" w:cs="Calibri" w:eastAsia="Calibri" w:hAnsi="Calibri"/>
          <w:sz w:val="20"/>
          <w:szCs w:val="20"/>
        </w:rPr>
        <w:t xml:space="preserve">______________________________</w:t>
      </w:r>
    </w:p>
    <w:p>
      <w:pPr>
        <w:spacing w:after="40" w:before="300"/>
      </w:pPr>
      <w:r>
        <w:rPr>
          <w:rFonts w:ascii="Calibri" w:cs="Calibri" w:eastAsia="Calibri" w:hAnsi="Calibri"/>
          <w:b/>
          <w:bCs/>
          <w:sz w:val="20"/>
          <w:szCs w:val="20"/>
        </w:rPr>
        <w:t xml:space="preserve">User — Authorized Representative or Individual: </w:t>
      </w:r>
      <w:r>
        <w:rPr>
          <w:rFonts w:ascii="Calibri" w:cs="Calibri" w:eastAsia="Calibri" w:hAnsi="Calibri"/>
          <w:sz w:val="20"/>
          <w:szCs w:val="20"/>
        </w:rPr>
        <w:t xml:space="preserve">_____________________________________________</w:t>
      </w:r>
    </w:p>
    <w:p>
      <w:pPr>
        <w:spacing w:after="200" w:before="60"/>
      </w:pPr>
      <w:r>
        <w:rPr>
          <w:rFonts w:ascii="Calibri" w:cs="Calibri" w:eastAsia="Calibri" w:hAnsi="Calibri"/>
          <w:b/>
          <w:bCs/>
          <w:sz w:val="20"/>
          <w:szCs w:val="20"/>
        </w:rPr>
        <w:t xml:space="preserve">Date: </w:t>
      </w:r>
      <w:r>
        <w:rPr>
          <w:rFonts w:ascii="Calibri" w:cs="Calibri" w:eastAsia="Calibri" w:hAnsi="Calibri"/>
          <w:sz w:val="20"/>
          <w:szCs w:val="20"/>
        </w:rPr>
        <w:t xml:space="preserve">______________________________</w:t>
      </w:r>
    </w:p>
    <w:p>
      <w:pPr>
        <w:spacing w:before="200"/>
      </w:pPr>
    </w:p>
    <w:p>
      <w:pPr>
        <w:pBdr>
          <w:bottom w:val="single" w:color="B8960C" w:sz="6"/>
        </w:pBdr>
        <w:spacing w:after="200" w:before="200"/>
      </w:pPr>
    </w:p>
    <w:p>
      <w:pPr>
        <w:spacing w:before="80"/>
      </w:pPr>
    </w:p>
    <w:p>
      <w:r>
        <w:br w:type="page"/>
      </w:r>
    </w:p>
    <w:p>
      <w:pPr>
        <w:spacing w:before="200"/>
      </w:pPr>
    </w:p>
    <w:p>
      <w:pPr>
        <w:spacing w:after="80" w:before="0"/>
        <w:jc w:val="center"/>
      </w:pPr>
      <w:r>
        <w:rPr>
          <w:rFonts w:ascii="Calibri" w:cs="Calibri" w:eastAsia="Calibri" w:hAnsi="Calibri"/>
          <w:b/>
          <w:bCs/>
          <w:color w:val="1B2A4A"/>
          <w:sz w:val="32"/>
          <w:szCs w:val="32"/>
        </w:rPr>
        <w:t xml:space="preserve">CUI EXCLUSION ACKNOWLEDGMENT</w:t>
      </w:r>
    </w:p>
    <w:p>
      <w:pPr>
        <w:spacing w:after="60" w:before="0"/>
        <w:jc w:val="center"/>
      </w:pPr>
      <w:r>
        <w:rPr>
          <w:rFonts w:ascii="Calibri" w:cs="Calibri" w:eastAsia="Calibri" w:hAnsi="Calibri"/>
          <w:i/>
          <w:iCs/>
          <w:color w:val="4A4A4A"/>
          <w:sz w:val="22"/>
          <w:szCs w:val="22"/>
        </w:rPr>
        <w:t xml:space="preserve">Exhibit A to DARA Terms of Service</w:t>
      </w:r>
    </w:p>
    <w:p>
      <w:pPr>
        <w:spacing w:after="60" w:before="0"/>
        <w:jc w:val="center"/>
      </w:pPr>
      <w:r>
        <w:rPr>
          <w:rFonts w:ascii="Calibri" w:cs="Calibri" w:eastAsia="Calibri" w:hAnsi="Calibri"/>
          <w:i/>
          <w:iCs/>
          <w:color w:val="4A4A4A"/>
          <w:sz w:val="22"/>
          <w:szCs w:val="22"/>
        </w:rPr>
        <w:t xml:space="preserve">Effective July 7, 2026</w:t>
      </w:r>
    </w:p>
    <w:p>
      <w:pPr>
        <w:pBdr>
          <w:bottom w:val="single" w:color="B8960C" w:sz="6"/>
        </w:pBdr>
        <w:spacing w:after="200" w:before="200"/>
      </w:pPr>
    </w:p>
    <w:p>
      <w:pPr>
        <w:spacing w:before="80"/>
      </w:pPr>
    </w:p>
    <w:p>
      <w:pPr>
        <w:spacing w:after="100" w:before="80"/>
        <w:jc w:val="both"/>
      </w:pPr>
      <w:r>
        <w:rPr>
          <w:rFonts w:ascii="Calibri" w:cs="Calibri" w:eastAsia="Calibri" w:hAnsi="Calibri"/>
          <w:b w:val="false"/>
          <w:bCs w:val="false"/>
          <w:i w:val="false"/>
          <w:iCs w:val="false"/>
          <w:color w:val="000000"/>
          <w:sz w:val="20"/>
          <w:szCs w:val="20"/>
        </w:rPr>
        <w:t xml:space="preserve">This CUI Exclusion Acknowledgment ('Acknowledgment') is a material term of the DARA Terms of Service and must be affirmatively accepted at account creation. By creating an account or accessing the Service, User agrees to all terms of this Acknowledgment.</w:t>
      </w:r>
    </w:p>
    <w:p>
      <w:pPr>
        <w:spacing w:before="80"/>
      </w:pPr>
    </w:p>
    <w:p>
      <w:pPr>
        <w:pStyle w:val="Heading1"/>
        <w:spacing w:after="120" w:before="360"/>
      </w:pPr>
      <w:r>
        <w:rPr>
          <w:rFonts w:ascii="Calibri" w:cs="Calibri" w:eastAsia="Calibri" w:hAnsi="Calibri"/>
          <w:b/>
          <w:bCs/>
          <w:color w:val="1B2A4A"/>
          <w:sz w:val="28"/>
          <w:szCs w:val="28"/>
        </w:rPr>
        <w:t xml:space="preserve">1. ACKNOWLEDGMENT OF NON-ENCLAVE STATUS</w:t>
      </w:r>
    </w:p>
    <w:p>
      <w:pPr>
        <w:spacing w:after="100" w:before="80"/>
        <w:jc w:val="both"/>
      </w:pPr>
      <w:r>
        <w:rPr>
          <w:rFonts w:ascii="Calibri" w:cs="Calibri" w:eastAsia="Calibri" w:hAnsi="Calibri"/>
          <w:b w:val="false"/>
          <w:bCs w:val="false"/>
          <w:i w:val="false"/>
          <w:iCs w:val="false"/>
          <w:color w:val="000000"/>
          <w:sz w:val="20"/>
          <w:szCs w:val="20"/>
        </w:rPr>
        <w:t xml:space="preserve">User acknowledges and agrees that:</w:t>
      </w:r>
    </w:p>
    <w:p>
      <w:pPr>
        <w:pStyle w:val="ListParagraph"/>
        <w:numPr>
          <w:ilvl w:val="0"/>
          <w:numId w:val="1"/>
        </w:numPr>
        <w:spacing w:after="60" w:before="60"/>
        <w:ind w:left="576" w:hanging="288"/>
      </w:pPr>
      <w:r>
        <w:rPr>
          <w:rFonts w:ascii="Calibri" w:cs="Calibri" w:eastAsia="Calibri" w:hAnsi="Calibri"/>
          <w:color w:val="000000"/>
          <w:sz w:val="20"/>
          <w:szCs w:val="20"/>
        </w:rPr>
        <w:t xml:space="preserve">The DARA Commercial Environment is not a FedRAMP-authorized cloud service offering and does not satisfy FedRAMP Moderate baseline requirements as required for cloud service providers processing CUI under DFARS 252.204-7012.</w:t>
      </w:r>
    </w:p>
    <w:p>
      <w:pPr>
        <w:pStyle w:val="ListParagraph"/>
        <w:numPr>
          <w:ilvl w:val="0"/>
          <w:numId w:val="1"/>
        </w:numPr>
        <w:spacing w:after="60" w:before="60"/>
        <w:ind w:left="576" w:hanging="288"/>
      </w:pPr>
      <w:r>
        <w:rPr>
          <w:rFonts w:ascii="Calibri" w:cs="Calibri" w:eastAsia="Calibri" w:hAnsi="Calibri"/>
          <w:color w:val="000000"/>
          <w:sz w:val="20"/>
          <w:szCs w:val="20"/>
        </w:rPr>
        <w:t xml:space="preserve">The DARA Commercial Environment is not within the scope of any CMMC assessment boundary and is not operated as a CMMC-scoped contractor information system.</w:t>
      </w:r>
    </w:p>
    <w:p>
      <w:pPr>
        <w:pStyle w:val="ListParagraph"/>
        <w:numPr>
          <w:ilvl w:val="0"/>
          <w:numId w:val="1"/>
        </w:numPr>
        <w:spacing w:after="60" w:before="60"/>
        <w:ind w:left="576" w:hanging="288"/>
      </w:pPr>
      <w:r>
        <w:rPr>
          <w:rFonts w:ascii="Calibri" w:cs="Calibri" w:eastAsia="Calibri" w:hAnsi="Calibri"/>
          <w:color w:val="000000"/>
          <w:sz w:val="20"/>
          <w:szCs w:val="20"/>
        </w:rPr>
        <w:t xml:space="preserve">The DARA Commercial Environment does not constitute a CUI enclave under 32 C.F.R. Part 2002, Executive Order 13556, or any DoD implementation guidance.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These exclusions are permanent, absolute, and apply under all circumstances, including where the User activates any BYOK (Bring Your Own Key) feature.</w:t>
      </w:r>
    </w:p>
    <w:p>
      <w:pPr>
        <w:pStyle w:val="Heading1"/>
        <w:spacing w:after="120" w:before="360"/>
      </w:pPr>
      <w:r>
        <w:rPr>
          <w:rFonts w:ascii="Calibri" w:cs="Calibri" w:eastAsia="Calibri" w:hAnsi="Calibri"/>
          <w:b/>
          <w:bCs/>
          <w:color w:val="1B2A4A"/>
          <w:sz w:val="28"/>
          <w:szCs w:val="28"/>
        </w:rPr>
        <w:t xml:space="preserve">2. BYOK DOES NOT CONFER ENCLAVE STATUS</w:t>
      </w:r>
    </w:p>
    <w:p>
      <w:pPr>
        <w:spacing w:after="100" w:before="80"/>
        <w:jc w:val="both"/>
      </w:pPr>
      <w:r>
        <w:rPr>
          <w:rFonts w:ascii="Calibri" w:cs="Calibri" w:eastAsia="Calibri" w:hAnsi="Calibri"/>
          <w:b w:val="false"/>
          <w:bCs w:val="false"/>
          <w:i w:val="false"/>
          <w:iCs w:val="false"/>
          <w:color w:val="000000"/>
          <w:sz w:val="20"/>
          <w:szCs w:val="20"/>
        </w:rPr>
        <w:t xml:space="preserve">User expressly acknowledges that activation of any BYOK encryption feature within the Service does not: (a) satisfy the FedRAMP Moderate baseline; (b) bring the Service within the scope of any CMMC boundary; (c) constitute adequate security under DFARS 252.204-7012; or (d) in any way alter the non-enclave status of the DARA Commercial Environment. User assumes sole and exclusive responsibility for any compliance consequences arising from reliance on BYOK as a CUI safeguarding measure.</w:t>
      </w:r>
    </w:p>
    <w:p>
      <w:pPr>
        <w:pStyle w:val="Heading1"/>
        <w:spacing w:after="120" w:before="360"/>
      </w:pPr>
      <w:r>
        <w:rPr>
          <w:rFonts w:ascii="Calibri" w:cs="Calibri" w:eastAsia="Calibri" w:hAnsi="Calibri"/>
          <w:b/>
          <w:bCs/>
          <w:color w:val="1B2A4A"/>
          <w:sz w:val="28"/>
          <w:szCs w:val="28"/>
        </w:rPr>
        <w:t xml:space="preserve">3. PROHIBITION AND SOLE RESPONSIBILITY</w:t>
      </w:r>
    </w:p>
    <w:p>
      <w:pPr>
        <w:spacing w:after="100" w:before="80"/>
        <w:jc w:val="both"/>
      </w:pPr>
      <w:r>
        <w:rPr>
          <w:rFonts w:ascii="Calibri" w:cs="Calibri" w:eastAsia="Calibri" w:hAnsi="Calibri"/>
          <w:b w:val="false"/>
          <w:bCs w:val="false"/>
          <w:i w:val="false"/>
          <w:iCs w:val="false"/>
          <w:color w:val="000000"/>
          <w:sz w:val="20"/>
          <w:szCs w:val="20"/>
        </w:rPr>
        <w:t xml:space="preserve">User is prohibited from submitting CUI or FCI to the Service. User bears sole and exclusive responsibility for: (a) identifying whether content it intends to submit to the Service contains CUI or FCI; (b) ensuring that no CUI or FCI is submitted; (c) maintaining its own compliant infrastructure and CUI enclave for any CUI-bearing content; and (d) satisfying all CMMC, DFARS, FAR, and other applicable federal cybersecurity obligations arising from its contracts.</w:t>
      </w:r>
    </w:p>
    <w:p>
      <w:pPr>
        <w:pStyle w:val="Heading1"/>
        <w:spacing w:after="120" w:before="360"/>
      </w:pPr>
      <w:r>
        <w:rPr>
          <w:rFonts w:ascii="Calibri" w:cs="Calibri" w:eastAsia="Calibri" w:hAnsi="Calibri"/>
          <w:b/>
          <w:bCs/>
          <w:color w:val="1B2A4A"/>
          <w:sz w:val="28"/>
          <w:szCs w:val="28"/>
        </w:rPr>
        <w:t xml:space="preserve">4. INDEMNIFICATION</w:t>
      </w:r>
    </w:p>
    <w:p>
      <w:pPr>
        <w:spacing w:after="100" w:before="80"/>
        <w:jc w:val="both"/>
      </w:pPr>
      <w:r>
        <w:rPr>
          <w:rFonts w:ascii="Calibri" w:cs="Calibri" w:eastAsia="Calibri" w:hAnsi="Calibri"/>
          <w:b w:val="false"/>
          <w:bCs w:val="false"/>
          <w:i w:val="false"/>
          <w:iCs w:val="false"/>
          <w:color w:val="000000"/>
          <w:sz w:val="20"/>
          <w:szCs w:val="20"/>
        </w:rPr>
        <w:t xml:space="preserve">User agrees to indemnify, defend, and hold harmless Crucible Insight and The Daniel Group LLC from any and all claims, penalties, fines, damages, liabilities, and costs (including attorneys' fees) arising from User's submission of CUI or FCI to the Service or User's failure to maintain a compliant CUI enclave separate from the Service.</w:t>
      </w:r>
    </w:p>
    <w:p>
      <w:pPr>
        <w:pStyle w:val="Heading1"/>
        <w:spacing w:after="120" w:before="360"/>
      </w:pPr>
      <w:r>
        <w:rPr>
          <w:rFonts w:ascii="Calibri" w:cs="Calibri" w:eastAsia="Calibri" w:hAnsi="Calibri"/>
          <w:b/>
          <w:bCs/>
          <w:color w:val="1B2A4A"/>
          <w:sz w:val="28"/>
          <w:szCs w:val="28"/>
        </w:rPr>
        <w:t xml:space="preserve">5. AFFIRMATIVE ACCEPTANCE REQUIRED</w:t>
      </w:r>
    </w:p>
    <w:p>
      <w:pPr>
        <w:spacing w:after="100" w:before="80"/>
        <w:jc w:val="both"/>
      </w:pPr>
      <w:r>
        <w:rPr>
          <w:rFonts w:ascii="Calibri" w:cs="Calibri" w:eastAsia="Calibri" w:hAnsi="Calibri"/>
          <w:b w:val="false"/>
          <w:bCs w:val="false"/>
          <w:i w:val="false"/>
          <w:iCs w:val="false"/>
          <w:color w:val="000000"/>
          <w:sz w:val="20"/>
          <w:szCs w:val="20"/>
        </w:rPr>
        <w:t xml:space="preserve">This Acknowledgment requires affirmative acceptance at account creation. A User who does not accept this Acknowledgment may not access the Service. Continued use of the Service after any modification to this Acknowledgment constitutes acceptance of the modified terms.</w:t>
      </w:r>
    </w:p>
    <w:p>
      <w:pPr>
        <w:spacing w:before="160"/>
      </w:pPr>
    </w:p>
    <w:p>
      <w:pPr>
        <w:spacing w:after="100" w:before="80"/>
        <w:jc w:val="left"/>
      </w:pPr>
      <w:r>
        <w:rPr>
          <w:rFonts w:ascii="Calibri" w:cs="Calibri" w:eastAsia="Calibri" w:hAnsi="Calibri"/>
          <w:b/>
          <w:bCs/>
          <w:i w:val="false"/>
          <w:iCs w:val="false"/>
          <w:color w:val="000000"/>
          <w:sz w:val="20"/>
          <w:szCs w:val="20"/>
        </w:rPr>
        <w:t xml:space="preserve">USER AFFIRMATIVELY ACKNOWLEDGES READING, UNDERSTANDING, AND AGREEING TO THIS CUI EXCLUSION ACKNOWLEDGMENT.</w:t>
      </w:r>
    </w:p>
    <w:p>
      <w:pPr>
        <w:spacing w:before="80"/>
      </w:pPr>
    </w:p>
    <w:p>
      <w:pPr>
        <w:spacing w:after="40" w:before="300"/>
      </w:pPr>
      <w:r>
        <w:rPr>
          <w:rFonts w:ascii="Calibri" w:cs="Calibri" w:eastAsia="Calibri" w:hAnsi="Calibri"/>
          <w:b/>
          <w:bCs/>
          <w:sz w:val="20"/>
          <w:szCs w:val="20"/>
        </w:rPr>
        <w:t xml:space="preserve">User — Authorized Representative or Individual: </w:t>
      </w:r>
      <w:r>
        <w:rPr>
          <w:rFonts w:ascii="Calibri" w:cs="Calibri" w:eastAsia="Calibri" w:hAnsi="Calibri"/>
          <w:sz w:val="20"/>
          <w:szCs w:val="20"/>
        </w:rPr>
        <w:t xml:space="preserve">_____________________________________________</w:t>
      </w:r>
    </w:p>
    <w:p>
      <w:pPr>
        <w:spacing w:after="200" w:before="60"/>
      </w:pPr>
      <w:r>
        <w:rPr>
          <w:rFonts w:ascii="Calibri" w:cs="Calibri" w:eastAsia="Calibri" w:hAnsi="Calibri"/>
          <w:b/>
          <w:bCs/>
          <w:sz w:val="20"/>
          <w:szCs w:val="20"/>
        </w:rPr>
        <w:t xml:space="preserve">Date: </w:t>
      </w:r>
      <w:r>
        <w:rPr>
          <w:rFonts w:ascii="Calibri" w:cs="Calibri" w:eastAsia="Calibri" w:hAnsi="Calibri"/>
          <w:sz w:val="20"/>
          <w:szCs w:val="20"/>
        </w:rPr>
        <w:t xml:space="preserve">______________________________</w:t>
      </w:r>
    </w:p>
    <w:p>
      <w:pPr>
        <w:spacing w:before="200"/>
      </w:pPr>
    </w:p>
    <w:p>
      <w:pPr>
        <w:pBdr>
          <w:bottom w:val="single" w:color="B8960C" w:sz="6"/>
        </w:pBdr>
        <w:spacing w:after="200" w:before="200"/>
      </w:pPr>
    </w:p>
    <w:p>
      <w:pPr>
        <w:spacing w:before="80"/>
      </w:pPr>
    </w:p>
    <w:p>
      <w:r>
        <w:br w:type="page"/>
      </w:r>
    </w:p>
    <w:p>
      <w:pPr>
        <w:spacing w:before="200"/>
      </w:pPr>
    </w:p>
    <w:p>
      <w:pPr>
        <w:spacing w:after="80" w:before="0"/>
        <w:jc w:val="center"/>
      </w:pPr>
      <w:r>
        <w:rPr>
          <w:rFonts w:ascii="Calibri" w:cs="Calibri" w:eastAsia="Calibri" w:hAnsi="Calibri"/>
          <w:b/>
          <w:bCs/>
          <w:color w:val="1B2A4A"/>
          <w:sz w:val="32"/>
          <w:szCs w:val="32"/>
        </w:rPr>
        <w:t xml:space="preserve">DATA PROCESSING ADDENDUM</w:t>
      </w:r>
    </w:p>
    <w:p>
      <w:pPr>
        <w:spacing w:after="60" w:before="0"/>
        <w:jc w:val="center"/>
      </w:pPr>
      <w:r>
        <w:rPr>
          <w:rFonts w:ascii="Calibri" w:cs="Calibri" w:eastAsia="Calibri" w:hAnsi="Calibri"/>
          <w:i/>
          <w:iCs/>
          <w:color w:val="4A4A4A"/>
          <w:sz w:val="22"/>
          <w:szCs w:val="22"/>
        </w:rPr>
        <w:t xml:space="preserve">Exhibit B to DARA Terms of Service</w:t>
      </w:r>
    </w:p>
    <w:p>
      <w:pPr>
        <w:spacing w:after="60" w:before="0"/>
        <w:jc w:val="center"/>
      </w:pPr>
      <w:r>
        <w:rPr>
          <w:rFonts w:ascii="Calibri" w:cs="Calibri" w:eastAsia="Calibri" w:hAnsi="Calibri"/>
          <w:i/>
          <w:iCs/>
          <w:color w:val="4A4A4A"/>
          <w:sz w:val="22"/>
          <w:szCs w:val="22"/>
        </w:rPr>
        <w:t xml:space="preserve">Effective July 7, 2026</w:t>
      </w:r>
    </w:p>
    <w:p>
      <w:pPr>
        <w:pBdr>
          <w:bottom w:val="single" w:color="B8960C" w:sz="6"/>
        </w:pBdr>
        <w:spacing w:after="200" w:before="200"/>
      </w:pPr>
    </w:p>
    <w:p>
      <w:pPr>
        <w:spacing w:before="80"/>
      </w:pPr>
    </w:p>
    <w:p>
      <w:pPr>
        <w:spacing w:after="100" w:before="80"/>
        <w:jc w:val="both"/>
      </w:pPr>
      <w:r>
        <w:rPr>
          <w:rFonts w:ascii="Calibri" w:cs="Calibri" w:eastAsia="Calibri" w:hAnsi="Calibri"/>
          <w:b w:val="false"/>
          <w:bCs w:val="false"/>
          <w:i w:val="false"/>
          <w:iCs w:val="false"/>
          <w:color w:val="000000"/>
          <w:sz w:val="20"/>
          <w:szCs w:val="20"/>
        </w:rPr>
        <w:t xml:space="preserve">This Data Processing Addendum ('DPA') supplements the DARA Terms of Service and governs Crucible Insight's processing of personal data submitted to or generated by the Service on behalf of User.</w:t>
      </w:r>
    </w:p>
    <w:p>
      <w:pPr>
        <w:pStyle w:val="Heading1"/>
        <w:spacing w:after="120" w:before="360"/>
      </w:pPr>
      <w:r>
        <w:rPr>
          <w:rFonts w:ascii="Calibri" w:cs="Calibri" w:eastAsia="Calibri" w:hAnsi="Calibri"/>
          <w:b/>
          <w:bCs/>
          <w:color w:val="1B2A4A"/>
          <w:sz w:val="28"/>
          <w:szCs w:val="28"/>
        </w:rPr>
        <w:t xml:space="preserve">1. DEFINITIONS</w:t>
      </w:r>
    </w:p>
    <w:p>
      <w:pPr>
        <w:spacing w:after="100" w:before="80"/>
        <w:jc w:val="both"/>
      </w:pPr>
      <w:r>
        <w:rPr>
          <w:rFonts w:ascii="Calibri" w:cs="Calibri" w:eastAsia="Calibri" w:hAnsi="Calibri"/>
          <w:b/>
          <w:bCs/>
          <w:color w:val="000000"/>
          <w:sz w:val="20"/>
          <w:szCs w:val="20"/>
        </w:rPr>
        <w:t xml:space="preserve">"Personal Data"</w:t>
      </w:r>
      <w:r>
        <w:rPr>
          <w:rFonts w:ascii="Calibri" w:cs="Calibri" w:eastAsia="Calibri" w:hAnsi="Calibri"/>
          <w:color w:val="000000"/>
          <w:sz w:val="20"/>
          <w:szCs w:val="20"/>
        </w:rPr>
        <w:t xml:space="preserve"> means any information relating to an identified or identifiable natural person as defined by applicable privacy law, including but not limited to the California Consumer Privacy Act (CCPA), the California Privacy Rights Act (CPRA), and any other applicable state privacy statute.</w:t>
      </w:r>
    </w:p>
    <w:p>
      <w:pPr>
        <w:spacing w:after="100" w:before="80"/>
        <w:jc w:val="both"/>
      </w:pPr>
      <w:r>
        <w:rPr>
          <w:rFonts w:ascii="Calibri" w:cs="Calibri" w:eastAsia="Calibri" w:hAnsi="Calibri"/>
          <w:b/>
          <w:bCs/>
          <w:color w:val="000000"/>
          <w:sz w:val="20"/>
          <w:szCs w:val="20"/>
        </w:rPr>
        <w:t xml:space="preserve">"Processing"</w:t>
      </w:r>
      <w:r>
        <w:rPr>
          <w:rFonts w:ascii="Calibri" w:cs="Calibri" w:eastAsia="Calibri" w:hAnsi="Calibri"/>
          <w:color w:val="000000"/>
          <w:sz w:val="20"/>
          <w:szCs w:val="20"/>
        </w:rPr>
        <w:t xml:space="preserve"> means any operation performed on Personal Data, including collection, storage, use, disclosure, or deletion.</w:t>
      </w:r>
    </w:p>
    <w:p>
      <w:pPr>
        <w:spacing w:after="100" w:before="80"/>
        <w:jc w:val="both"/>
      </w:pPr>
      <w:r>
        <w:rPr>
          <w:rFonts w:ascii="Calibri" w:cs="Calibri" w:eastAsia="Calibri" w:hAnsi="Calibri"/>
          <w:b/>
          <w:bCs/>
          <w:color w:val="000000"/>
          <w:sz w:val="20"/>
          <w:szCs w:val="20"/>
        </w:rPr>
        <w:t xml:space="preserve">"Controller"</w:t>
      </w:r>
      <w:r>
        <w:rPr>
          <w:rFonts w:ascii="Calibri" w:cs="Calibri" w:eastAsia="Calibri" w:hAnsi="Calibri"/>
          <w:color w:val="000000"/>
          <w:sz w:val="20"/>
          <w:szCs w:val="20"/>
        </w:rPr>
        <w:t xml:space="preserve"> means the User, who determines the purposes and means of Processing of Personal Data submitted to the Service.</w:t>
      </w:r>
    </w:p>
    <w:p>
      <w:pPr>
        <w:spacing w:after="100" w:before="80"/>
        <w:jc w:val="both"/>
      </w:pPr>
      <w:r>
        <w:rPr>
          <w:rFonts w:ascii="Calibri" w:cs="Calibri" w:eastAsia="Calibri" w:hAnsi="Calibri"/>
          <w:b/>
          <w:bCs/>
          <w:color w:val="000000"/>
          <w:sz w:val="20"/>
          <w:szCs w:val="20"/>
        </w:rPr>
        <w:t xml:space="preserve">"Processor"</w:t>
      </w:r>
      <w:r>
        <w:rPr>
          <w:rFonts w:ascii="Calibri" w:cs="Calibri" w:eastAsia="Calibri" w:hAnsi="Calibri"/>
          <w:color w:val="000000"/>
          <w:sz w:val="20"/>
          <w:szCs w:val="20"/>
        </w:rPr>
        <w:t xml:space="preserve"> means Crucible Insight, which processes Personal Data on behalf of and under the instructions of the Controller.</w:t>
      </w:r>
    </w:p>
    <w:p>
      <w:pPr>
        <w:pStyle w:val="Heading1"/>
        <w:spacing w:after="120" w:before="360"/>
      </w:pPr>
      <w:r>
        <w:rPr>
          <w:rFonts w:ascii="Calibri" w:cs="Calibri" w:eastAsia="Calibri" w:hAnsi="Calibri"/>
          <w:b/>
          <w:bCs/>
          <w:color w:val="1B2A4A"/>
          <w:sz w:val="28"/>
          <w:szCs w:val="28"/>
        </w:rPr>
        <w:t xml:space="preserve">2. ROLES AND PROCESSING PURPOSE</w:t>
      </w:r>
    </w:p>
    <w:p>
      <w:pPr>
        <w:spacing w:after="100" w:before="80"/>
        <w:jc w:val="both"/>
      </w:pPr>
      <w:r>
        <w:rPr>
          <w:rFonts w:ascii="Calibri" w:cs="Calibri" w:eastAsia="Calibri" w:hAnsi="Calibri"/>
          <w:b w:val="false"/>
          <w:bCs w:val="false"/>
          <w:i w:val="false"/>
          <w:iCs w:val="false"/>
          <w:color w:val="000000"/>
          <w:sz w:val="20"/>
          <w:szCs w:val="20"/>
        </w:rPr>
        <w:t xml:space="preserve">User is the Controller of Personal Data submitted to the Service. Crucible Insight acts as Processor and processes Personal Data solely to deliver the Service as directed by User. Crucible Insight does not sell, share, or use Personal Data for any purpose beyond Service delivery.</w:t>
      </w:r>
    </w:p>
    <w:p>
      <w:pPr>
        <w:pStyle w:val="Heading1"/>
        <w:spacing w:after="120" w:before="360"/>
      </w:pPr>
      <w:r>
        <w:rPr>
          <w:rFonts w:ascii="Calibri" w:cs="Calibri" w:eastAsia="Calibri" w:hAnsi="Calibri"/>
          <w:b/>
          <w:bCs/>
          <w:color w:val="1B2A4A"/>
          <w:sz w:val="28"/>
          <w:szCs w:val="28"/>
        </w:rPr>
        <w:t xml:space="preserve">3. CRUCIBLE INSIGHT OBLIGATIONS</w:t>
      </w:r>
    </w:p>
    <w:p>
      <w:pPr>
        <w:spacing w:after="100" w:before="80"/>
        <w:jc w:val="both"/>
      </w:pPr>
      <w:r>
        <w:rPr>
          <w:rFonts w:ascii="Calibri" w:cs="Calibri" w:eastAsia="Calibri" w:hAnsi="Calibri"/>
          <w:b w:val="false"/>
          <w:bCs w:val="false"/>
          <w:i w:val="false"/>
          <w:iCs w:val="false"/>
          <w:color w:val="000000"/>
          <w:sz w:val="20"/>
          <w:szCs w:val="20"/>
        </w:rPr>
        <w:t xml:space="preserve">Crucible Insight agrees to:</w:t>
      </w:r>
    </w:p>
    <w:p>
      <w:pPr>
        <w:pStyle w:val="ListParagraph"/>
        <w:numPr>
          <w:ilvl w:val="0"/>
          <w:numId w:val="1"/>
        </w:numPr>
        <w:spacing w:after="60" w:before="60"/>
        <w:ind w:left="576" w:hanging="288"/>
      </w:pPr>
      <w:r>
        <w:rPr>
          <w:rFonts w:ascii="Calibri" w:cs="Calibri" w:eastAsia="Calibri" w:hAnsi="Calibri"/>
          <w:color w:val="000000"/>
          <w:sz w:val="20"/>
          <w:szCs w:val="20"/>
        </w:rPr>
        <w:t xml:space="preserve">Process Personal Data only on documented instructions from User, as set forth in the Terms of Service and this DPA;</w:t>
      </w:r>
    </w:p>
    <w:p>
      <w:pPr>
        <w:pStyle w:val="ListParagraph"/>
        <w:numPr>
          <w:ilvl w:val="0"/>
          <w:numId w:val="1"/>
        </w:numPr>
        <w:spacing w:after="60" w:before="60"/>
        <w:ind w:left="576" w:hanging="288"/>
      </w:pPr>
      <w:r>
        <w:rPr>
          <w:rFonts w:ascii="Calibri" w:cs="Calibri" w:eastAsia="Calibri" w:hAnsi="Calibri"/>
          <w:color w:val="000000"/>
          <w:sz w:val="20"/>
          <w:szCs w:val="20"/>
        </w:rPr>
        <w:t xml:space="preserve">Implement and maintain appropriate technical and organizational security measures to protect Personal Data against unauthorized access, disclosure, alteration, or destruction;</w:t>
      </w:r>
    </w:p>
    <w:p>
      <w:pPr>
        <w:pStyle w:val="ListParagraph"/>
        <w:numPr>
          <w:ilvl w:val="0"/>
          <w:numId w:val="1"/>
        </w:numPr>
        <w:spacing w:after="60" w:before="60"/>
        <w:ind w:left="576" w:hanging="288"/>
      </w:pPr>
      <w:r>
        <w:rPr>
          <w:rFonts w:ascii="Calibri" w:cs="Calibri" w:eastAsia="Calibri" w:hAnsi="Calibri"/>
          <w:color w:val="000000"/>
          <w:sz w:val="20"/>
          <w:szCs w:val="20"/>
        </w:rPr>
        <w:t xml:space="preserve">Ensure that personnel who access Personal Data are bound by appropriate confidentiality obligations;</w:t>
      </w:r>
    </w:p>
    <w:p>
      <w:pPr>
        <w:pStyle w:val="ListParagraph"/>
        <w:numPr>
          <w:ilvl w:val="0"/>
          <w:numId w:val="1"/>
        </w:numPr>
        <w:spacing w:after="60" w:before="60"/>
        <w:ind w:left="576" w:hanging="288"/>
      </w:pPr>
      <w:r>
        <w:rPr>
          <w:rFonts w:ascii="Calibri" w:cs="Calibri" w:eastAsia="Calibri" w:hAnsi="Calibri"/>
          <w:color w:val="000000"/>
          <w:sz w:val="20"/>
          <w:szCs w:val="20"/>
        </w:rPr>
        <w:t xml:space="preserve">Assist User in responding to data subject rights requests to the extent technically feasible;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Delete or return Personal Data upon termination of the Service relationship in accordance with the Terms of Service retention schedule; and</w:t>
      </w:r>
    </w:p>
    <w:p>
      <w:pPr>
        <w:pStyle w:val="ListParagraph"/>
        <w:numPr>
          <w:ilvl w:val="0"/>
          <w:numId w:val="1"/>
        </w:numPr>
        <w:spacing w:after="60" w:before="60"/>
        <w:ind w:left="576" w:hanging="288"/>
      </w:pPr>
      <w:r>
        <w:rPr>
          <w:rFonts w:ascii="Calibri" w:cs="Calibri" w:eastAsia="Calibri" w:hAnsi="Calibri"/>
          <w:color w:val="000000"/>
          <w:sz w:val="20"/>
          <w:szCs w:val="20"/>
        </w:rPr>
        <w:t xml:space="preserve">Notify User without undue delay upon becoming aware of a confirmed Personal Data breach affecting User's Personal Data.</w:t>
      </w:r>
    </w:p>
    <w:p>
      <w:pPr>
        <w:pStyle w:val="Heading1"/>
        <w:spacing w:after="120" w:before="360"/>
      </w:pPr>
      <w:r>
        <w:rPr>
          <w:rFonts w:ascii="Calibri" w:cs="Calibri" w:eastAsia="Calibri" w:hAnsi="Calibri"/>
          <w:b/>
          <w:bCs/>
          <w:color w:val="1B2A4A"/>
          <w:sz w:val="28"/>
          <w:szCs w:val="28"/>
        </w:rPr>
        <w:t xml:space="preserve">4. SUBPROCESSORS</w:t>
      </w:r>
    </w:p>
    <w:p>
      <w:pPr>
        <w:spacing w:after="100" w:before="80"/>
        <w:jc w:val="both"/>
      </w:pPr>
      <w:r>
        <w:rPr>
          <w:rFonts w:ascii="Calibri" w:cs="Calibri" w:eastAsia="Calibri" w:hAnsi="Calibri"/>
          <w:b w:val="false"/>
          <w:bCs w:val="false"/>
          <w:i w:val="false"/>
          <w:iCs w:val="false"/>
          <w:color w:val="000000"/>
          <w:sz w:val="20"/>
          <w:szCs w:val="20"/>
        </w:rPr>
        <w:t xml:space="preserve">Crucible Insight may engage third-party subprocessors to deliver the Service. Crucible Insight maintains a list of current subprocessors and will notify Users of material changes. Crucible Insight requires subprocessors to satisfy data protection obligations at least equivalent to those in this DPA.</w:t>
      </w:r>
    </w:p>
    <w:p>
      <w:pPr>
        <w:pStyle w:val="Heading1"/>
        <w:spacing w:after="120" w:before="360"/>
      </w:pPr>
      <w:r>
        <w:rPr>
          <w:rFonts w:ascii="Calibri" w:cs="Calibri" w:eastAsia="Calibri" w:hAnsi="Calibri"/>
          <w:b/>
          <w:bCs/>
          <w:color w:val="1B2A4A"/>
          <w:sz w:val="28"/>
          <w:szCs w:val="28"/>
        </w:rPr>
        <w:t xml:space="preserve">5. DATA SUBJECT RIGHTS</w:t>
      </w:r>
    </w:p>
    <w:p>
      <w:pPr>
        <w:spacing w:after="100" w:before="80"/>
        <w:jc w:val="both"/>
      </w:pPr>
      <w:r>
        <w:rPr>
          <w:rFonts w:ascii="Calibri" w:cs="Calibri" w:eastAsia="Calibri" w:hAnsi="Calibri"/>
          <w:b w:val="false"/>
          <w:bCs w:val="false"/>
          <w:i w:val="false"/>
          <w:iCs w:val="false"/>
          <w:color w:val="000000"/>
          <w:sz w:val="20"/>
          <w:szCs w:val="20"/>
        </w:rPr>
        <w:t xml:space="preserve">User, as Controller, is responsible for responding to data subject rights requests from individuals whose Personal Data is submitted to the Service. Crucible Insight will provide reasonable assistance to User in fulfilling such obligations to the extent technically feasible.</w:t>
      </w:r>
    </w:p>
    <w:p>
      <w:pPr>
        <w:pStyle w:val="Heading1"/>
        <w:spacing w:after="120" w:before="360"/>
      </w:pPr>
      <w:r>
        <w:rPr>
          <w:rFonts w:ascii="Calibri" w:cs="Calibri" w:eastAsia="Calibri" w:hAnsi="Calibri"/>
          <w:b/>
          <w:bCs/>
          <w:color w:val="1B2A4A"/>
          <w:sz w:val="28"/>
          <w:szCs w:val="28"/>
        </w:rPr>
        <w:t xml:space="preserve">6. PROHIBITED DATA</w:t>
      </w:r>
    </w:p>
    <w:p>
      <w:pPr>
        <w:spacing w:after="100" w:before="80"/>
        <w:jc w:val="both"/>
      </w:pPr>
      <w:r>
        <w:rPr>
          <w:rFonts w:ascii="Calibri" w:cs="Calibri" w:eastAsia="Calibri" w:hAnsi="Calibri"/>
          <w:b w:val="false"/>
          <w:bCs w:val="false"/>
          <w:i w:val="false"/>
          <w:iCs w:val="false"/>
          <w:color w:val="000000"/>
          <w:sz w:val="20"/>
          <w:szCs w:val="20"/>
        </w:rPr>
        <w:t xml:space="preserve">User shall not submit to the Service any Personal Data that is subject to heightened regulatory protection, including protected health information under HIPAA, unless User has obtained all required authorizations and Crucible Insight has separately agreed in writing to process such data under a Business Associate Agreement or equivalent instrument.</w:t>
      </w:r>
    </w:p>
    <w:p>
      <w:pPr>
        <w:pStyle w:val="Heading1"/>
        <w:spacing w:after="120" w:before="360"/>
      </w:pPr>
      <w:r>
        <w:rPr>
          <w:rFonts w:ascii="Calibri" w:cs="Calibri" w:eastAsia="Calibri" w:hAnsi="Calibri"/>
          <w:b/>
          <w:bCs/>
          <w:color w:val="1B2A4A"/>
          <w:sz w:val="28"/>
          <w:szCs w:val="28"/>
        </w:rPr>
        <w:t xml:space="preserve">7. GOVERNING LAW</w:t>
      </w:r>
    </w:p>
    <w:p>
      <w:pPr>
        <w:spacing w:after="100" w:before="80"/>
        <w:jc w:val="both"/>
      </w:pPr>
      <w:r>
        <w:rPr>
          <w:rFonts w:ascii="Calibri" w:cs="Calibri" w:eastAsia="Calibri" w:hAnsi="Calibri"/>
          <w:b w:val="false"/>
          <w:bCs w:val="false"/>
          <w:i w:val="false"/>
          <w:iCs w:val="false"/>
          <w:color w:val="000000"/>
          <w:sz w:val="20"/>
          <w:szCs w:val="20"/>
        </w:rPr>
        <w:t xml:space="preserve">This DPA is governed by the laws of the State of Arizona. It is incorporated by reference into the DARA Terms of Service and subject to the dispute resolution provisions thereof.</w:t>
      </w:r>
    </w:p>
    <w:p>
      <w:pPr>
        <w:spacing w:before="200"/>
      </w:pPr>
    </w:p>
    <w:p>
      <w:pPr>
        <w:pBdr>
          <w:bottom w:val="single" w:color="B8960C" w:sz="6"/>
        </w:pBdr>
        <w:spacing w:after="200" w:before="200"/>
      </w:pPr>
    </w:p>
    <w:p>
      <w:pPr>
        <w:spacing w:before="80"/>
      </w:pPr>
    </w:p>
    <w:p>
      <w:pPr>
        <w:spacing w:after="100" w:before="80"/>
        <w:jc w:val="left"/>
      </w:pPr>
      <w:r>
        <w:rPr>
          <w:rFonts w:ascii="Calibri" w:cs="Calibri" w:eastAsia="Calibri" w:hAnsi="Calibri"/>
          <w:b/>
          <w:bCs/>
          <w:i w:val="false"/>
          <w:iCs w:val="false"/>
          <w:color w:val="000000"/>
          <w:sz w:val="20"/>
          <w:szCs w:val="20"/>
        </w:rPr>
        <w:t xml:space="preserve">END OF DOCUMENT SET</w:t>
      </w:r>
    </w:p>
    <w:p>
      <w:pPr>
        <w:spacing w:after="60" w:before="0"/>
        <w:jc w:val="center"/>
      </w:pPr>
      <w:r>
        <w:rPr>
          <w:rFonts w:ascii="Calibri" w:cs="Calibri" w:eastAsia="Calibri" w:hAnsi="Calibri"/>
          <w:i/>
          <w:iCs/>
          <w:color w:val="4A4A4A"/>
          <w:sz w:val="18"/>
          <w:szCs w:val="18"/>
        </w:rPr>
        <w:t xml:space="preserve">DARA Legal Document Set v1.0 | The Daniel Group LLC d/b/a Crucible Insight | dara.crucibleinsight.com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4A4A"/>
        <w:sz w:val="16"/>
        <w:szCs w:val="16"/>
      </w:rPr>
      <w:t xml:space="preserve">DARA Legal Document Set v1.0  |  The Daniel Group LLC d/b/a Crucible Insight  |  Confidential  |  Page </w:t>
    </w:r>
    <w:r>
      <w:rPr>
        <w:rFonts w:ascii="Calibri" w:cs="Calibri" w:eastAsia="Calibri" w:hAnsi="Calibri"/>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DARA Legal Document Set</dc:title>
  <dc:creator>Crucible Insight</dc:creator>
  <dc:description>Terms of Service, Mutual NDA, CUI Exclusion Acknowledgment, and Data Processing Addendum</dc:description>
  <cp:lastModifiedBy>Un-named</cp:lastModifiedBy>
  <cp:revision>1</cp:revision>
  <dcterms:created xsi:type="dcterms:W3CDTF">2026-07-06T08:59:29.353Z</dcterms:created>
  <dcterms:modified xsi:type="dcterms:W3CDTF">2026-07-06T08:59:29.368Z</dcterms:modified>
</cp:coreProperties>
</file>

<file path=docProps/custom.xml><?xml version="1.0" encoding="utf-8"?>
<Properties xmlns="http://schemas.openxmlformats.org/officeDocument/2006/custom-properties" xmlns:vt="http://schemas.openxmlformats.org/officeDocument/2006/docPropsVTypes"/>
</file>