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before="0"/>
        <w:jc w:val="center"/>
      </w:pPr>
      <w:r>
        <w:rPr>
          <w:rFonts w:ascii="Calibri" w:cs="Calibri" w:eastAsia="Calibri" w:hAnsi="Calibri"/>
          <w:b/>
          <w:bCs/>
          <w:color w:val="1B2A4A"/>
          <w:sz w:val="32"/>
          <w:szCs w:val="32"/>
        </w:rPr>
        <w:t xml:space="preserve">DARA</w:t>
      </w:r>
    </w:p>
    <w:p>
      <w:pPr>
        <w:spacing w:after="60" w:before="0"/>
        <w:jc w:val="center"/>
      </w:pPr>
      <w:r>
        <w:rPr>
          <w:rFonts w:ascii="Calibri" w:cs="Calibri" w:eastAsia="Calibri" w:hAnsi="Calibri"/>
          <w:i/>
          <w:iCs/>
          <w:color w:val="4A4A4A"/>
          <w:sz w:val="22"/>
          <w:szCs w:val="22"/>
        </w:rPr>
        <w:t xml:space="preserve">Document Analysis for Response Assessment</w:t>
      </w:r>
    </w:p>
    <w:p>
      <w:pPr>
        <w:spacing w:before="80"/>
      </w:pPr>
    </w:p>
    <w:p>
      <w:pPr>
        <w:spacing w:after="80" w:before="0"/>
        <w:jc w:val="center"/>
      </w:pPr>
      <w:r>
        <w:rPr>
          <w:rFonts w:ascii="Calibri" w:cs="Calibri" w:eastAsia="Calibri" w:hAnsi="Calibri"/>
          <w:b/>
          <w:bCs/>
          <w:color w:val="1B2A4A"/>
          <w:sz w:val="28"/>
          <w:szCs w:val="28"/>
        </w:rPr>
        <w:t xml:space="preserve">SUPPLEMENTAL POLICY ADDENDUM</w:t>
      </w:r>
    </w:p>
    <w:p>
      <w:pPr>
        <w:spacing w:after="60" w:before="0"/>
        <w:jc w:val="center"/>
      </w:pPr>
      <w:r>
        <w:rPr>
          <w:rFonts w:ascii="Calibri" w:cs="Calibri" w:eastAsia="Calibri" w:hAnsi="Calibri"/>
          <w:i/>
          <w:iCs/>
          <w:color w:val="4A4A4A"/>
          <w:sz w:val="22"/>
          <w:szCs w:val="22"/>
        </w:rPr>
        <w:t xml:space="preserve">Version 1.0  |  Effective July 7, 2026</w:t>
      </w:r>
    </w:p>
    <w:p>
      <w:pPr>
        <w:spacing w:after="60" w:before="0"/>
        <w:jc w:val="center"/>
      </w:pPr>
      <w:r>
        <w:rPr>
          <w:rFonts w:ascii="Calibri" w:cs="Calibri" w:eastAsia="Calibri" w:hAnsi="Calibri"/>
          <w:i/>
          <w:iCs/>
          <w:color w:val="4A4A4A"/>
          <w:sz w:val="22"/>
          <w:szCs w:val="22"/>
        </w:rPr>
        <w:t xml:space="preserve">The Daniel Group LLC d/b/a Crucible Insight</w:t>
      </w:r>
    </w:p>
    <w:p>
      <w:pPr>
        <w:pBdr>
          <w:bottom w:val="single" w:color="B8960C" w:sz="6"/>
        </w:pBdr>
        <w:spacing w:after="200" w:before="200"/>
      </w:pPr>
    </w:p>
    <w:p>
      <w:pPr>
        <w:spacing w:before="80"/>
      </w:pPr>
    </w:p>
    <w:p>
      <w:pPr>
        <w:spacing w:after="100" w:before="80"/>
        <w:jc w:val="both"/>
      </w:pPr>
      <w:r>
        <w:rPr>
          <w:rFonts w:ascii="Calibri" w:cs="Calibri" w:eastAsia="Calibri" w:hAnsi="Calibri"/>
          <w:b w:val="false"/>
          <w:bCs w:val="false"/>
          <w:i w:val="false"/>
          <w:iCs w:val="false"/>
          <w:caps w:val="false"/>
          <w:color w:val="000000"/>
          <w:sz w:val="20"/>
          <w:szCs w:val="20"/>
        </w:rPr>
        <w:t xml:space="preserve">This Supplemental Policy Addendum ("Addendum") is incorporated by reference into, and forms part of, the DARA Terms of Service effective July 7, 2026 ("Terms") between The Daniel Group LLC, an Arizona limited liability company doing business as Crucible Insight ("Crucible Insight"), and any User of the DARA — Document Analysis for Response Assessment platform ("Service"). Capitalized terms used but not defined herein have the meanings assigned in the Terms. In the event of a conflict between this Addendum and the Terms, this Addendum controls with respect to the subject matter addressed herein.</w:t>
      </w:r>
    </w:p>
    <w:p>
      <w:pPr>
        <w:spacing w:before="80"/>
      </w:pPr>
    </w:p>
    <w:p>
      <w:pPr>
        <w:spacing w:after="80" w:before="0"/>
        <w:jc w:val="center"/>
      </w:pPr>
      <w:r>
        <w:rPr>
          <w:rFonts w:ascii="Calibri" w:cs="Calibri" w:eastAsia="Calibri" w:hAnsi="Calibri"/>
          <w:b/>
          <w:bCs/>
          <w:color w:val="1B2A4A"/>
          <w:sz w:val="26"/>
          <w:szCs w:val="26"/>
        </w:rPr>
        <w:t xml:space="preserve">EXHIBIT C</w:t>
      </w:r>
    </w:p>
    <w:p>
      <w:pPr>
        <w:spacing w:after="80" w:before="0"/>
        <w:jc w:val="center"/>
      </w:pPr>
      <w:r>
        <w:rPr>
          <w:rFonts w:ascii="Calibri" w:cs="Calibri" w:eastAsia="Calibri" w:hAnsi="Calibri"/>
          <w:b/>
          <w:bCs/>
          <w:color w:val="1B2A4A"/>
          <w:sz w:val="24"/>
          <w:szCs w:val="24"/>
        </w:rPr>
        <w:t xml:space="preserve">ACCEPTABLE USE POLICY</w:t>
      </w:r>
    </w:p>
    <w:p>
      <w:pPr>
        <w:spacing w:before="40"/>
      </w:pPr>
    </w:p>
    <w:p>
      <w:pPr>
        <w:pStyle w:val="Heading1"/>
        <w:spacing w:after="120" w:before="360"/>
      </w:pPr>
      <w:r>
        <w:rPr>
          <w:rFonts w:ascii="Calibri" w:cs="Calibri" w:eastAsia="Calibri" w:hAnsi="Calibri"/>
          <w:b/>
          <w:bCs/>
          <w:color w:val="1B2A4A"/>
          <w:sz w:val="28"/>
          <w:szCs w:val="28"/>
        </w:rPr>
        <w:t xml:space="preserve">C-1. PURPOSE AND SCOPE</w:t>
      </w:r>
    </w:p>
    <w:p>
      <w:pPr>
        <w:spacing w:after="100" w:before="80"/>
        <w:jc w:val="both"/>
      </w:pPr>
      <w:r>
        <w:rPr>
          <w:rFonts w:ascii="Calibri" w:cs="Calibri" w:eastAsia="Calibri" w:hAnsi="Calibri"/>
          <w:b w:val="false"/>
          <w:bCs w:val="false"/>
          <w:i w:val="false"/>
          <w:iCs w:val="false"/>
          <w:caps w:val="false"/>
          <w:color w:val="000000"/>
          <w:sz w:val="20"/>
          <w:szCs w:val="20"/>
        </w:rPr>
        <w:t xml:space="preserve">This Acceptable Use Policy ('AUP') establishes the standards governing all use of the Service. All Users, including individual professionals and corporate account holders, are required to comply with this AUP as a condition of continued access. Violations may result in immediate account suspension or termination without notice.</w:t>
      </w:r>
    </w:p>
    <w:p>
      <w:pPr>
        <w:pStyle w:val="Heading1"/>
        <w:spacing w:after="120" w:before="360"/>
      </w:pPr>
      <w:r>
        <w:rPr>
          <w:rFonts w:ascii="Calibri" w:cs="Calibri" w:eastAsia="Calibri" w:hAnsi="Calibri"/>
          <w:b/>
          <w:bCs/>
          <w:color w:val="1B2A4A"/>
          <w:sz w:val="28"/>
          <w:szCs w:val="28"/>
        </w:rPr>
        <w:t xml:space="preserve">C-2. PERMITTED USE</w:t>
      </w:r>
    </w:p>
    <w:p>
      <w:pPr>
        <w:spacing w:after="100" w:before="80"/>
        <w:jc w:val="both"/>
      </w:pPr>
      <w:r>
        <w:rPr>
          <w:rFonts w:ascii="Calibri" w:cs="Calibri" w:eastAsia="Calibri" w:hAnsi="Calibri"/>
          <w:b w:val="false"/>
          <w:bCs w:val="false"/>
          <w:i w:val="false"/>
          <w:iCs w:val="false"/>
          <w:caps w:val="false"/>
          <w:color w:val="000000"/>
          <w:sz w:val="20"/>
          <w:szCs w:val="20"/>
        </w:rPr>
        <w:t xml:space="preserve">The Service is authorized solely for the User's internal business purposes, including the preparation, review, and analysis of government contract proposals, past performance documentation, solicitation responses, and related procurement materials. Any use beyond this scope requires the prior written consent of Crucible Insight.</w:t>
      </w:r>
    </w:p>
    <w:p>
      <w:pPr>
        <w:pStyle w:val="Heading1"/>
        <w:spacing w:after="120" w:before="360"/>
      </w:pPr>
      <w:r>
        <w:rPr>
          <w:rFonts w:ascii="Calibri" w:cs="Calibri" w:eastAsia="Calibri" w:hAnsi="Calibri"/>
          <w:b/>
          <w:bCs/>
          <w:color w:val="1B2A4A"/>
          <w:sz w:val="28"/>
          <w:szCs w:val="28"/>
        </w:rPr>
        <w:t xml:space="preserve">C-3. PROHIBITED CONDUCT</w:t>
      </w:r>
    </w:p>
    <w:p>
      <w:pPr>
        <w:spacing w:after="100" w:before="80"/>
        <w:jc w:val="both"/>
      </w:pPr>
      <w:r>
        <w:rPr>
          <w:rFonts w:ascii="Calibri" w:cs="Calibri" w:eastAsia="Calibri" w:hAnsi="Calibri"/>
          <w:b w:val="false"/>
          <w:bCs w:val="false"/>
          <w:i w:val="false"/>
          <w:iCs w:val="false"/>
          <w:caps w:val="false"/>
          <w:color w:val="000000"/>
          <w:sz w:val="20"/>
          <w:szCs w:val="20"/>
        </w:rPr>
        <w:t xml:space="preserve">Users are expressly prohibited from:</w:t>
      </w:r>
    </w:p>
    <w:p>
      <w:pPr>
        <w:pStyle w:val="ListParagraph"/>
        <w:numPr>
          <w:ilvl w:val="0"/>
          <w:numId w:val="1"/>
        </w:numPr>
        <w:spacing w:after="60" w:before="60"/>
        <w:ind w:left="576" w:hanging="288"/>
      </w:pPr>
      <w:r>
        <w:rPr>
          <w:rFonts w:ascii="Calibri" w:cs="Calibri" w:eastAsia="Calibri" w:hAnsi="Calibri"/>
          <w:color w:val="000000"/>
          <w:sz w:val="20"/>
          <w:szCs w:val="20"/>
        </w:rPr>
        <w:t xml:space="preserve">Submitting, uploading, or transmitting any Controlled Unclassified Information (CUI), Federal Contract Information (FCI), export-controlled technical data, or classified information to the Service, as further described in Section 3 of the Terms and Exhibit E of this Addendum.</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Using the Service to gather competitive intelligence on other users, firms, or proposals, including any attempt to infer, reconstruct, or derive the proposal strategies, pricing, or win themes of any third party from aggregated Output.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Employing automated scripts, bots, crawlers, scrapers, or any non-human access mechanism to interact with the Service or its APIs beyond use cases expressly authorized by Crucible Insight in writing.</w:t>
      </w:r>
    </w:p>
    <w:p>
      <w:pPr>
        <w:pStyle w:val="ListParagraph"/>
        <w:numPr>
          <w:ilvl w:val="0"/>
          <w:numId w:val="1"/>
        </w:numPr>
        <w:spacing w:after="60" w:before="60"/>
        <w:ind w:left="576" w:hanging="288"/>
      </w:pPr>
      <w:r>
        <w:rPr>
          <w:rFonts w:ascii="Calibri" w:cs="Calibri" w:eastAsia="Calibri" w:hAnsi="Calibri"/>
          <w:color w:val="000000"/>
          <w:sz w:val="20"/>
          <w:szCs w:val="20"/>
        </w:rPr>
        <w:t xml:space="preserve">Exceeding API rate limits, circumventing access controls, or taking any action that degrades Service performance for other users.</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Using Output to support, inform, or prepare a bid protest, Government Accountability Office (GAO) protest, Court of Federal Claims action, or any other legal or administrative challenge against any third party, without independent verification of the Output by qualified counsel.</w:t>
      </w:r>
    </w:p>
    <w:p>
      <w:pPr>
        <w:pStyle w:val="ListParagraph"/>
        <w:numPr>
          <w:ilvl w:val="0"/>
          <w:numId w:val="1"/>
        </w:numPr>
        <w:spacing w:after="60" w:before="60"/>
        <w:ind w:left="576" w:hanging="288"/>
      </w:pPr>
      <w:r>
        <w:rPr>
          <w:rFonts w:ascii="Calibri" w:cs="Calibri" w:eastAsia="Calibri" w:hAnsi="Calibri"/>
          <w:color w:val="000000"/>
          <w:sz w:val="20"/>
          <w:szCs w:val="20"/>
        </w:rPr>
        <w:t xml:space="preserve">Reverse engineering, decompiling, disassembling, or otherwise attempting to derive the source code, analytical models, scoring algorithms, or prompt architecture of the Service.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Reproducing, reselling, sublicensing, redistributing, or otherwise commercializing the Service or Output without Crucible Insight's prior written consent.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Misrepresenting Output as independently verified compliance analysis, legal advice, or a certified compliance determination.</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Using the Service in any manner that violates applicable federal, state, or local law, including procurement integrity laws, False Claims Act obligations, and export control regulations.</w:t>
      </w:r>
    </w:p>
    <w:p>
      <w:pPr>
        <w:pStyle w:val="ListParagraph"/>
        <w:numPr>
          <w:ilvl w:val="0"/>
          <w:numId w:val="1"/>
        </w:numPr>
        <w:spacing w:after="60" w:before="60"/>
        <w:ind w:left="576" w:hanging="288"/>
      </w:pPr>
      <w:r>
        <w:rPr>
          <w:rFonts w:ascii="Calibri" w:cs="Calibri" w:eastAsia="Calibri" w:hAnsi="Calibri"/>
          <w:color w:val="000000"/>
          <w:sz w:val="20"/>
          <w:szCs w:val="20"/>
        </w:rPr>
        <w:t xml:space="preserve">Submitting false or misleading information during account registration or in connection with any use of the Service.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Permitting unauthorized third parties to access the Service using the User's credentials.</w:t>
      </w:r>
    </w:p>
    <w:p>
      <w:pPr>
        <w:pStyle w:val="Heading1"/>
        <w:spacing w:after="120" w:before="360"/>
      </w:pPr>
      <w:r>
        <w:rPr>
          <w:rFonts w:ascii="Calibri" w:cs="Calibri" w:eastAsia="Calibri" w:hAnsi="Calibri"/>
          <w:b/>
          <w:bCs/>
          <w:color w:val="1B2A4A"/>
          <w:sz w:val="28"/>
          <w:szCs w:val="28"/>
        </w:rPr>
        <w:t xml:space="preserve">C-4. ENFORCEMENT</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reserves the right to investigate suspected violations of this AUP and to take any action it deems appropriate, including issuing warnings, suspending access, terminating accounts, and referring matters to law enforcement. Crucible Insight has no obligation to monitor User activity but reserves the right to do so.</w:t>
      </w:r>
    </w:p>
    <w:p>
      <w:pPr>
        <w:pStyle w:val="Heading1"/>
        <w:spacing w:after="120" w:before="360"/>
      </w:pPr>
      <w:r>
        <w:rPr>
          <w:rFonts w:ascii="Calibri" w:cs="Calibri" w:eastAsia="Calibri" w:hAnsi="Calibri"/>
          <w:b/>
          <w:bCs/>
          <w:color w:val="1B2A4A"/>
          <w:sz w:val="28"/>
          <w:szCs w:val="28"/>
        </w:rPr>
        <w:t xml:space="preserve">C-5. REPORTING VIOLATIONS</w:t>
      </w:r>
    </w:p>
    <w:p>
      <w:pPr>
        <w:spacing w:after="100" w:before="80"/>
        <w:jc w:val="both"/>
      </w:pPr>
      <w:r>
        <w:rPr>
          <w:rFonts w:ascii="Calibri" w:cs="Calibri" w:eastAsia="Calibri" w:hAnsi="Calibri"/>
          <w:b w:val="false"/>
          <w:bCs w:val="false"/>
          <w:i w:val="false"/>
          <w:iCs w:val="false"/>
          <w:caps w:val="false"/>
          <w:color w:val="000000"/>
          <w:sz w:val="20"/>
          <w:szCs w:val="20"/>
        </w:rPr>
        <w:t xml:space="preserve">Users who become aware of conduct that may violate this AUP are encouraged to report it to Crucible Insight at the contact address specified in the Terms. Reports may be submitted anonymously.</w:t>
      </w:r>
    </w:p>
    <w:p>
      <w:pPr>
        <w:spacing w:before="160"/>
      </w:pPr>
    </w:p>
    <w:p>
      <w:pPr>
        <w:pBdr>
          <w:bottom w:val="single" w:color="B8960C" w:sz="6"/>
        </w:pBdr>
        <w:spacing w:after="200" w:before="200"/>
      </w:pPr>
    </w:p>
    <w:p>
      <w:r>
        <w:br w:type="page"/>
      </w:r>
    </w:p>
    <w:p>
      <w:pPr>
        <w:spacing w:after="80" w:before="0"/>
        <w:jc w:val="center"/>
      </w:pPr>
      <w:r>
        <w:rPr>
          <w:rFonts w:ascii="Calibri" w:cs="Calibri" w:eastAsia="Calibri" w:hAnsi="Calibri"/>
          <w:b/>
          <w:bCs/>
          <w:color w:val="1B2A4A"/>
          <w:sz w:val="26"/>
          <w:szCs w:val="26"/>
        </w:rPr>
        <w:t xml:space="preserve">EXHIBIT D</w:t>
      </w:r>
    </w:p>
    <w:p>
      <w:pPr>
        <w:spacing w:after="80" w:before="0"/>
        <w:jc w:val="center"/>
      </w:pPr>
      <w:r>
        <w:rPr>
          <w:rFonts w:ascii="Calibri" w:cs="Calibri" w:eastAsia="Calibri" w:hAnsi="Calibri"/>
          <w:b/>
          <w:bCs/>
          <w:color w:val="1B2A4A"/>
          <w:sz w:val="24"/>
          <w:szCs w:val="24"/>
        </w:rPr>
        <w:t xml:space="preserve">SUBSCRIPTION, BILLING, AND PAYMENT TERMS</w:t>
      </w:r>
    </w:p>
    <w:p>
      <w:pPr>
        <w:spacing w:before="40"/>
      </w:pPr>
    </w:p>
    <w:p>
      <w:pPr>
        <w:pStyle w:val="Heading1"/>
        <w:spacing w:after="120" w:before="360"/>
      </w:pPr>
      <w:r>
        <w:rPr>
          <w:rFonts w:ascii="Calibri" w:cs="Calibri" w:eastAsia="Calibri" w:hAnsi="Calibri"/>
          <w:b/>
          <w:bCs/>
          <w:color w:val="1B2A4A"/>
          <w:sz w:val="28"/>
          <w:szCs w:val="28"/>
        </w:rPr>
        <w:t xml:space="preserve">D-1. SUBSCRIPTION TIERS AND FEATURES</w:t>
      </w:r>
    </w:p>
    <w:p>
      <w:pPr>
        <w:spacing w:after="100" w:before="80"/>
        <w:jc w:val="both"/>
      </w:pPr>
      <w:r>
        <w:rPr>
          <w:rFonts w:ascii="Calibri" w:cs="Calibri" w:eastAsia="Calibri" w:hAnsi="Calibri"/>
          <w:b w:val="false"/>
          <w:bCs w:val="false"/>
          <w:i w:val="false"/>
          <w:iCs w:val="false"/>
          <w:caps w:val="false"/>
          <w:color w:val="000000"/>
          <w:sz w:val="20"/>
          <w:szCs w:val="20"/>
        </w:rPr>
        <w:t xml:space="preserve">The Service is offered in subscription tiers as published on the DARA pricing page at dara.crucibleinsight.com/pricing, which may be updated from time to time with thirty (30) days' written notice to existing subscribers. Free trial access is subject to Section D-2. Paid subscription tiers govern access to full Service features.</w:t>
      </w:r>
    </w:p>
    <w:p>
      <w:pPr>
        <w:pStyle w:val="Heading1"/>
        <w:spacing w:after="120" w:before="360"/>
      </w:pPr>
      <w:r>
        <w:rPr>
          <w:rFonts w:ascii="Calibri" w:cs="Calibri" w:eastAsia="Calibri" w:hAnsi="Calibri"/>
          <w:b/>
          <w:bCs/>
          <w:color w:val="1B2A4A"/>
          <w:sz w:val="28"/>
          <w:szCs w:val="28"/>
        </w:rPr>
        <w:t xml:space="preserve">D-2. FREE TRIAL</w:t>
      </w:r>
    </w:p>
    <w:p>
      <w:pPr>
        <w:pStyle w:val="Heading2"/>
        <w:spacing w:after="80" w:before="240"/>
      </w:pPr>
      <w:r>
        <w:rPr>
          <w:rFonts w:ascii="Calibri" w:cs="Calibri" w:eastAsia="Calibri" w:hAnsi="Calibri"/>
          <w:b/>
          <w:bCs/>
          <w:color w:val="1B2A4A"/>
          <w:sz w:val="24"/>
          <w:szCs w:val="24"/>
        </w:rPr>
        <w:t xml:space="preserve">D-2.1 Scope and Limitations</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may offer a limited-scope free trial of the Service ('Free Trial'). Free Trial access is restricted in functionality and feature set as specified at account creation. Features including, without limitation, API integration with Microsoft SharePoint or Google Drive, BYOK encryption, bulk document processing, advanced Output export, and corporate archive management are not available during the Free Trial unless expressly stated otherwise.</w:t>
      </w:r>
    </w:p>
    <w:p>
      <w:pPr>
        <w:pStyle w:val="Heading2"/>
        <w:spacing w:after="80" w:before="240"/>
      </w:pPr>
      <w:r>
        <w:rPr>
          <w:rFonts w:ascii="Calibri" w:cs="Calibri" w:eastAsia="Calibri" w:hAnsi="Calibri"/>
          <w:b/>
          <w:bCs/>
          <w:color w:val="1B2A4A"/>
          <w:sz w:val="24"/>
          <w:szCs w:val="24"/>
        </w:rPr>
        <w:t xml:space="preserve">D-2.2 Trial Period and Conversion</w:t>
      </w:r>
    </w:p>
    <w:p>
      <w:pPr>
        <w:spacing w:after="100" w:before="80"/>
        <w:jc w:val="both"/>
      </w:pPr>
      <w:r>
        <w:rPr>
          <w:rFonts w:ascii="Calibri" w:cs="Calibri" w:eastAsia="Calibri" w:hAnsi="Calibri"/>
          <w:b w:val="false"/>
          <w:bCs w:val="false"/>
          <w:i w:val="false"/>
          <w:iCs w:val="false"/>
          <w:caps w:val="false"/>
          <w:color w:val="000000"/>
          <w:sz w:val="20"/>
          <w:szCs w:val="20"/>
        </w:rPr>
        <w:t xml:space="preserve">The Free Trial period is as specified at account creation. Upon expiration of the Free Trial, access to trial features will terminate automatically unless the User converts to a paid subscription. Crucible Insight reserves the right to modify, suspend, or discontinue the Free Trial at any time without notice.</w:t>
      </w:r>
    </w:p>
    <w:p>
      <w:pPr>
        <w:pStyle w:val="Heading2"/>
        <w:spacing w:after="80" w:before="240"/>
      </w:pPr>
      <w:r>
        <w:rPr>
          <w:rFonts w:ascii="Calibri" w:cs="Calibri" w:eastAsia="Calibri" w:hAnsi="Calibri"/>
          <w:b/>
          <w:bCs/>
          <w:color w:val="1B2A4A"/>
          <w:sz w:val="24"/>
          <w:szCs w:val="24"/>
        </w:rPr>
        <w:t xml:space="preserve">D-2.3 No Warranty During Trial</w:t>
      </w:r>
    </w:p>
    <w:p>
      <w:pPr>
        <w:spacing w:after="100" w:before="80"/>
        <w:jc w:val="both"/>
      </w:pPr>
      <w:r>
        <w:rPr>
          <w:rFonts w:ascii="Calibri" w:cs="Calibri" w:eastAsia="Calibri" w:hAnsi="Calibri"/>
          <w:b w:val="false"/>
          <w:bCs w:val="false"/>
          <w:i w:val="false"/>
          <w:iCs w:val="false"/>
          <w:caps w:val="false"/>
          <w:color w:val="000000"/>
          <w:sz w:val="20"/>
          <w:szCs w:val="20"/>
        </w:rPr>
        <w:t xml:space="preserve">THE SERVICE DURING THE FREE TRIAL IS PROVIDED 'AS IS' WITHOUT ANY WARRANTY OF ANY KIND. CRUCIBLE INSIGHT SHALL HAVE NO LIABILITY TO ANY USER FOR ANY CLAIM ARISING FROM OR RELATED TO FREE TRIAL USE, INCLUDING BUT NOT LIMITED TO DATA LOSS, FEATURE UNAVAILABILITY, OR SERVICE INTERRUPTION.</w:t>
      </w:r>
    </w:p>
    <w:p>
      <w:pPr>
        <w:pStyle w:val="Heading2"/>
        <w:spacing w:after="80" w:before="240"/>
      </w:pPr>
      <w:r>
        <w:rPr>
          <w:rFonts w:ascii="Calibri" w:cs="Calibri" w:eastAsia="Calibri" w:hAnsi="Calibri"/>
          <w:b/>
          <w:bCs/>
          <w:color w:val="1B2A4A"/>
          <w:sz w:val="24"/>
          <w:szCs w:val="24"/>
        </w:rPr>
        <w:t xml:space="preserve">D-2.4 Transition of Data</w:t>
      </w:r>
    </w:p>
    <w:p>
      <w:pPr>
        <w:spacing w:after="100" w:before="80"/>
        <w:jc w:val="both"/>
      </w:pPr>
      <w:r>
        <w:rPr>
          <w:rFonts w:ascii="Calibri" w:cs="Calibri" w:eastAsia="Calibri" w:hAnsi="Calibri"/>
          <w:b w:val="false"/>
          <w:bCs w:val="false"/>
          <w:i w:val="false"/>
          <w:iCs w:val="false"/>
          <w:caps w:val="false"/>
          <w:color w:val="000000"/>
          <w:sz w:val="20"/>
          <w:szCs w:val="20"/>
        </w:rPr>
        <w:t xml:space="preserve">User Content submitted during the Free Trial may not be automatically migrated to a paid subscription environment. Users are responsible for retaining copies of any content submitted during the Free Trial that they wish to preserve.</w:t>
      </w:r>
    </w:p>
    <w:p>
      <w:pPr>
        <w:pStyle w:val="Heading1"/>
        <w:spacing w:after="120" w:before="360"/>
      </w:pPr>
      <w:r>
        <w:rPr>
          <w:rFonts w:ascii="Calibri" w:cs="Calibri" w:eastAsia="Calibri" w:hAnsi="Calibri"/>
          <w:b/>
          <w:bCs/>
          <w:color w:val="1B2A4A"/>
          <w:sz w:val="28"/>
          <w:szCs w:val="28"/>
        </w:rPr>
        <w:t xml:space="preserve">D-3. PAYMENT TERMS</w:t>
      </w:r>
    </w:p>
    <w:p>
      <w:pPr>
        <w:pStyle w:val="Heading2"/>
        <w:spacing w:after="80" w:before="240"/>
      </w:pPr>
      <w:r>
        <w:rPr>
          <w:rFonts w:ascii="Calibri" w:cs="Calibri" w:eastAsia="Calibri" w:hAnsi="Calibri"/>
          <w:b/>
          <w:bCs/>
          <w:color w:val="1B2A4A"/>
          <w:sz w:val="24"/>
          <w:szCs w:val="24"/>
        </w:rPr>
        <w:t xml:space="preserve">D-3.1 Fees</w:t>
      </w:r>
    </w:p>
    <w:p>
      <w:pPr>
        <w:spacing w:after="100" w:before="80"/>
        <w:jc w:val="both"/>
      </w:pPr>
      <w:r>
        <w:rPr>
          <w:rFonts w:ascii="Calibri" w:cs="Calibri" w:eastAsia="Calibri" w:hAnsi="Calibri"/>
          <w:b w:val="false"/>
          <w:bCs w:val="false"/>
          <w:i w:val="false"/>
          <w:iCs w:val="false"/>
          <w:caps w:val="false"/>
          <w:color w:val="000000"/>
          <w:sz w:val="20"/>
          <w:szCs w:val="20"/>
        </w:rPr>
        <w:t xml:space="preserve">Subscription fees are as published on the pricing page in effect at the time of subscription or renewal. Crucible Insight reserves the right to change pricing with thirty (30) days' notice to existing subscribers. Continued use of the Service after the effective date of a price change constitutes acceptance of the new pricing.</w:t>
      </w:r>
    </w:p>
    <w:p>
      <w:pPr>
        <w:pStyle w:val="Heading2"/>
        <w:spacing w:after="80" w:before="240"/>
      </w:pPr>
      <w:r>
        <w:rPr>
          <w:rFonts w:ascii="Calibri" w:cs="Calibri" w:eastAsia="Calibri" w:hAnsi="Calibri"/>
          <w:b/>
          <w:bCs/>
          <w:color w:val="1B2A4A"/>
          <w:sz w:val="24"/>
          <w:szCs w:val="24"/>
        </w:rPr>
        <w:t xml:space="preserve">D-3.2 Billing Cycle</w:t>
      </w:r>
    </w:p>
    <w:p>
      <w:pPr>
        <w:spacing w:after="100" w:before="80"/>
        <w:jc w:val="both"/>
      </w:pPr>
      <w:r>
        <w:rPr>
          <w:rFonts w:ascii="Calibri" w:cs="Calibri" w:eastAsia="Calibri" w:hAnsi="Calibri"/>
          <w:b w:val="false"/>
          <w:bCs w:val="false"/>
          <w:i w:val="false"/>
          <w:iCs w:val="false"/>
          <w:caps w:val="false"/>
          <w:color w:val="000000"/>
          <w:sz w:val="20"/>
          <w:szCs w:val="20"/>
        </w:rPr>
        <w:t xml:space="preserve">Users select a billing cycle — monthly or annual — at the time of subscription enrollment. The selected billing cycle governs the frequency of charges and the applicable subscription rate. The billing cycle may be changed by the User prior to the next renewal date through the account settings portal.</w:t>
      </w:r>
    </w:p>
    <w:p>
      <w:pPr>
        <w:pStyle w:val="Heading2"/>
        <w:spacing w:after="80" w:before="240"/>
      </w:pPr>
      <w:r>
        <w:rPr>
          <w:rFonts w:ascii="Calibri" w:cs="Calibri" w:eastAsia="Calibri" w:hAnsi="Calibri"/>
          <w:b/>
          <w:bCs/>
          <w:color w:val="1B2A4A"/>
          <w:sz w:val="24"/>
          <w:szCs w:val="24"/>
        </w:rPr>
        <w:t xml:space="preserve">D-3.3 Auto-Renewal</w:t>
      </w:r>
    </w:p>
    <w:p>
      <w:pPr>
        <w:spacing w:after="100" w:before="80"/>
        <w:jc w:val="both"/>
      </w:pPr>
      <w:r>
        <w:rPr>
          <w:rFonts w:ascii="Calibri" w:cs="Calibri" w:eastAsia="Calibri" w:hAnsi="Calibri"/>
          <w:b w:val="false"/>
          <w:bCs w:val="false"/>
          <w:i w:val="false"/>
          <w:iCs w:val="false"/>
          <w:caps w:val="false"/>
          <w:color w:val="000000"/>
          <w:sz w:val="20"/>
          <w:szCs w:val="20"/>
        </w:rPr>
        <w:t xml:space="preserve">Subscriptions renew automatically at the end of each billing cycle on the cycle selected at enrollment (monthly or annual) unless the User cancels prior to the renewal date. Crucible Insight will send a renewal reminder to the registered account email address at least seven (7) days before the renewal date for annual subscriptions. For monthly subscriptions, renewal occurs automatically without a separate reminder. By enrolling in a paid subscription, User expressly authorizes Crucible Insight to charge the payment method on file for each renewal cycle.</w:t>
      </w:r>
    </w:p>
    <w:p>
      <w:pPr>
        <w:pStyle w:val="Heading2"/>
        <w:spacing w:after="80" w:before="240"/>
      </w:pPr>
      <w:r>
        <w:rPr>
          <w:rFonts w:ascii="Calibri" w:cs="Calibri" w:eastAsia="Calibri" w:hAnsi="Calibri"/>
          <w:b/>
          <w:bCs/>
          <w:color w:val="1B2A4A"/>
          <w:sz w:val="24"/>
          <w:szCs w:val="24"/>
        </w:rPr>
        <w:t xml:space="preserve">D-3.4 Cancellation</w:t>
      </w:r>
    </w:p>
    <w:p>
      <w:pPr>
        <w:spacing w:after="100" w:before="80"/>
        <w:jc w:val="both"/>
      </w:pPr>
      <w:r>
        <w:rPr>
          <w:rFonts w:ascii="Calibri" w:cs="Calibri" w:eastAsia="Calibri" w:hAnsi="Calibri"/>
          <w:b w:val="false"/>
          <w:bCs w:val="false"/>
          <w:i w:val="false"/>
          <w:iCs w:val="false"/>
          <w:caps w:val="false"/>
          <w:color w:val="000000"/>
          <w:sz w:val="20"/>
          <w:szCs w:val="20"/>
        </w:rPr>
        <w:t xml:space="preserve">Users may cancel auto-renewal at any time through the account settings portal. Cancellation takes effect at the end of the current billing cycle. Access to the Service continues through the end of the paid period following cancellation. Cancellation does not entitle the User to a refund of any fees paid for the current billing cycle.</w:t>
      </w:r>
    </w:p>
    <w:p>
      <w:pPr>
        <w:pStyle w:val="Heading2"/>
        <w:spacing w:after="80" w:before="240"/>
      </w:pPr>
      <w:r>
        <w:rPr>
          <w:rFonts w:ascii="Calibri" w:cs="Calibri" w:eastAsia="Calibri" w:hAnsi="Calibri"/>
          <w:b/>
          <w:bCs/>
          <w:color w:val="1B2A4A"/>
          <w:sz w:val="24"/>
          <w:szCs w:val="24"/>
        </w:rPr>
        <w:t xml:space="preserve">D-3.5 Failed Payments</w:t>
      </w:r>
    </w:p>
    <w:p>
      <w:pPr>
        <w:spacing w:after="100" w:before="80"/>
        <w:jc w:val="both"/>
      </w:pPr>
      <w:r>
        <w:rPr>
          <w:rFonts w:ascii="Calibri" w:cs="Calibri" w:eastAsia="Calibri" w:hAnsi="Calibri"/>
          <w:b w:val="false"/>
          <w:bCs w:val="false"/>
          <w:i w:val="false"/>
          <w:iCs w:val="false"/>
          <w:caps w:val="false"/>
          <w:color w:val="000000"/>
          <w:sz w:val="20"/>
          <w:szCs w:val="20"/>
        </w:rPr>
        <w:t xml:space="preserve">If a scheduled payment fails, Crucible Insight will attempt to collect payment using the payment method on file for up to three (3) additional attempts over a ten (10) day period. If payment is not collected within that period, Crucible Insight may suspend access to the Service without further notice until the outstanding balance is paid in full.</w:t>
      </w:r>
    </w:p>
    <w:p>
      <w:pPr>
        <w:pStyle w:val="Heading1"/>
        <w:spacing w:after="120" w:before="360"/>
      </w:pPr>
      <w:r>
        <w:rPr>
          <w:rFonts w:ascii="Calibri" w:cs="Calibri" w:eastAsia="Calibri" w:hAnsi="Calibri"/>
          <w:b/>
          <w:bCs/>
          <w:color w:val="1B2A4A"/>
          <w:sz w:val="28"/>
          <w:szCs w:val="28"/>
        </w:rPr>
        <w:t xml:space="preserve">D-4. CREDITS</w:t>
      </w:r>
    </w:p>
    <w:p>
      <w:pPr>
        <w:pStyle w:val="Heading2"/>
        <w:spacing w:after="80" w:before="240"/>
      </w:pPr>
      <w:r>
        <w:rPr>
          <w:rFonts w:ascii="Calibri" w:cs="Calibri" w:eastAsia="Calibri" w:hAnsi="Calibri"/>
          <w:b/>
          <w:bCs/>
          <w:color w:val="1B2A4A"/>
          <w:sz w:val="24"/>
          <w:szCs w:val="24"/>
        </w:rPr>
        <w:t xml:space="preserve">D-4.1 Credit Grants</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may, in its sole discretion, issue usage credits to User accounts in connection with promotions, service credits, or other programs. Credits are applied to future subscription charges or usage fees as specified at the time of issuance.</w:t>
      </w:r>
    </w:p>
    <w:p>
      <w:pPr>
        <w:pStyle w:val="Heading2"/>
        <w:spacing w:after="80" w:before="240"/>
      </w:pPr>
      <w:r>
        <w:rPr>
          <w:rFonts w:ascii="Calibri" w:cs="Calibri" w:eastAsia="Calibri" w:hAnsi="Calibri"/>
          <w:b/>
          <w:bCs/>
          <w:color w:val="1B2A4A"/>
          <w:sz w:val="24"/>
          <w:szCs w:val="24"/>
        </w:rPr>
        <w:t xml:space="preserve">D-4.2 No Refund for Unused Credits</w:t>
      </w:r>
    </w:p>
    <w:p>
      <w:pPr>
        <w:spacing w:after="100" w:before="80"/>
        <w:jc w:val="both"/>
      </w:pPr>
      <w:r>
        <w:rPr>
          <w:rFonts w:ascii="Calibri" w:cs="Calibri" w:eastAsia="Calibri" w:hAnsi="Calibri"/>
          <w:b w:val="false"/>
          <w:bCs w:val="false"/>
          <w:i w:val="false"/>
          <w:iCs w:val="false"/>
          <w:caps w:val="false"/>
          <w:color w:val="000000"/>
          <w:sz w:val="20"/>
          <w:szCs w:val="20"/>
        </w:rPr>
        <w:t xml:space="preserve">CREDITS ARE NON-REFUNDABLE AND HAVE NO CASH VALUE. UNUSED CREDITS ARE FORFEITED UPON ACCOUNT TERMINATION OR EXPIRATION OF ANY PROMOTIONAL PERIOD SPECIFIED AT THE TIME OF ISSUANCE. CRUCIBLE INSIGHT WILL NOT REFUND, REDEEM, OR PROVIDE CASH EQUIVALENT VALUE FOR ANY UNUSED CREDITS UNDER ANY CIRCUMSTANCES.</w:t>
      </w:r>
    </w:p>
    <w:p>
      <w:pPr>
        <w:pStyle w:val="Heading2"/>
        <w:spacing w:after="80" w:before="240"/>
      </w:pPr>
      <w:r>
        <w:rPr>
          <w:rFonts w:ascii="Calibri" w:cs="Calibri" w:eastAsia="Calibri" w:hAnsi="Calibri"/>
          <w:b/>
          <w:bCs/>
          <w:color w:val="1B2A4A"/>
          <w:sz w:val="24"/>
          <w:szCs w:val="24"/>
        </w:rPr>
        <w:t xml:space="preserve">D-4.3 No Refunds Generally</w:t>
      </w:r>
    </w:p>
    <w:p>
      <w:pPr>
        <w:spacing w:after="100" w:before="80"/>
        <w:jc w:val="both"/>
      </w:pPr>
      <w:r>
        <w:rPr>
          <w:rFonts w:ascii="Calibri" w:cs="Calibri" w:eastAsia="Calibri" w:hAnsi="Calibri"/>
          <w:b w:val="false"/>
          <w:bCs w:val="false"/>
          <w:i w:val="false"/>
          <w:iCs w:val="false"/>
          <w:caps w:val="false"/>
          <w:color w:val="000000"/>
          <w:sz w:val="20"/>
          <w:szCs w:val="20"/>
        </w:rPr>
        <w:t xml:space="preserve">ALL FEES PAID TO CRUCIBLE INSIGHT ARE NON-REFUNDABLE. CRUCIBLE INSIGHT DOES NOT ISSUE REFUNDS FOR ANY REASON, INCLUDING BUT NOT LIMITED TO CANCELLATION PRIOR TO THE END OF A BILLING CYCLE, DISSATISFACTION WITH THE SERVICE OR ITS OUTPUTS, SERVICE INTERRUPTIONS WITHIN THE PARAMETERS OF THE SLA SET FORTH IN EXHIBIT F, OR FAILURE TO USE PURCHASED SUBSCRIPTION FEATURES. BY ENROLLING IN A PAID SUBSCRIPTION, USER EXPRESSLY ACKNOWLEDGES AND AGREES TO THIS NO-REFUND POLICY.</w:t>
      </w:r>
    </w:p>
    <w:p>
      <w:pPr>
        <w:pStyle w:val="Heading1"/>
        <w:spacing w:after="120" w:before="360"/>
      </w:pPr>
      <w:r>
        <w:rPr>
          <w:rFonts w:ascii="Calibri" w:cs="Calibri" w:eastAsia="Calibri" w:hAnsi="Calibri"/>
          <w:b/>
          <w:bCs/>
          <w:color w:val="1B2A4A"/>
          <w:sz w:val="28"/>
          <w:szCs w:val="28"/>
        </w:rPr>
        <w:t xml:space="preserve">D-5. TAXES</w:t>
      </w:r>
    </w:p>
    <w:p>
      <w:pPr>
        <w:spacing w:after="100" w:before="80"/>
        <w:jc w:val="both"/>
      </w:pPr>
      <w:r>
        <w:rPr>
          <w:rFonts w:ascii="Calibri" w:cs="Calibri" w:eastAsia="Calibri" w:hAnsi="Calibri"/>
          <w:b w:val="false"/>
          <w:bCs w:val="false"/>
          <w:i w:val="false"/>
          <w:iCs w:val="false"/>
          <w:caps w:val="false"/>
          <w:color w:val="000000"/>
          <w:sz w:val="20"/>
          <w:szCs w:val="20"/>
        </w:rPr>
        <w:t xml:space="preserve">User is responsible for all applicable taxes, levies, or duties imposed by taxing authorities on subscription fees, excluding taxes on Crucible Insight's net income. If Crucible Insight is required to collect taxes, they will be added to the applicable invoice.</w:t>
      </w:r>
    </w:p>
    <w:p>
      <w:pPr>
        <w:spacing w:before="160"/>
      </w:pPr>
    </w:p>
    <w:p>
      <w:pPr>
        <w:pBdr>
          <w:bottom w:val="single" w:color="B8960C" w:sz="6"/>
        </w:pBdr>
        <w:spacing w:after="200" w:before="200"/>
      </w:pPr>
    </w:p>
    <w:p>
      <w:r>
        <w:br w:type="page"/>
      </w:r>
    </w:p>
    <w:p>
      <w:pPr>
        <w:spacing w:after="80" w:before="0"/>
        <w:jc w:val="center"/>
      </w:pPr>
      <w:r>
        <w:rPr>
          <w:rFonts w:ascii="Calibri" w:cs="Calibri" w:eastAsia="Calibri" w:hAnsi="Calibri"/>
          <w:b/>
          <w:bCs/>
          <w:color w:val="1B2A4A"/>
          <w:sz w:val="26"/>
          <w:szCs w:val="26"/>
        </w:rPr>
        <w:t xml:space="preserve">EXHIBIT E</w:t>
      </w:r>
    </w:p>
    <w:p>
      <w:pPr>
        <w:spacing w:after="80" w:before="0"/>
        <w:jc w:val="center"/>
      </w:pPr>
      <w:r>
        <w:rPr>
          <w:rFonts w:ascii="Calibri" w:cs="Calibri" w:eastAsia="Calibri" w:hAnsi="Calibri"/>
          <w:b/>
          <w:bCs/>
          <w:color w:val="1B2A4A"/>
          <w:sz w:val="24"/>
          <w:szCs w:val="24"/>
        </w:rPr>
        <w:t xml:space="preserve">EXPORT CONTROLS, SANCTIONS, AND ITAR</w:t>
      </w:r>
    </w:p>
    <w:p>
      <w:pPr>
        <w:spacing w:before="40"/>
      </w:pPr>
    </w:p>
    <w:p>
      <w:pPr>
        <w:pStyle w:val="Heading1"/>
        <w:spacing w:after="120" w:before="360"/>
      </w:pPr>
      <w:r>
        <w:rPr>
          <w:rFonts w:ascii="Calibri" w:cs="Calibri" w:eastAsia="Calibri" w:hAnsi="Calibri"/>
          <w:b/>
          <w:bCs/>
          <w:color w:val="1B2A4A"/>
          <w:sz w:val="28"/>
          <w:szCs w:val="28"/>
        </w:rPr>
        <w:t xml:space="preserve">E-1. EXPORT CONTROL COMPLIANCE</w:t>
      </w:r>
    </w:p>
    <w:p>
      <w:pPr>
        <w:pStyle w:val="Heading2"/>
        <w:spacing w:after="80" w:before="240"/>
      </w:pPr>
      <w:r>
        <w:rPr>
          <w:rFonts w:ascii="Calibri" w:cs="Calibri" w:eastAsia="Calibri" w:hAnsi="Calibri"/>
          <w:b/>
          <w:bCs/>
          <w:color w:val="1B2A4A"/>
          <w:sz w:val="24"/>
          <w:szCs w:val="24"/>
        </w:rPr>
        <w:t xml:space="preserve">E-1.1 General Prohibition</w:t>
      </w:r>
    </w:p>
    <w:p>
      <w:pPr>
        <w:spacing w:after="100" w:before="80"/>
        <w:jc w:val="both"/>
      </w:pPr>
      <w:r>
        <w:rPr>
          <w:rFonts w:ascii="Calibri" w:cs="Calibri" w:eastAsia="Calibri" w:hAnsi="Calibri"/>
          <w:b w:val="false"/>
          <w:bCs w:val="false"/>
          <w:i w:val="false"/>
          <w:iCs w:val="false"/>
          <w:caps w:val="false"/>
          <w:color w:val="000000"/>
          <w:sz w:val="20"/>
          <w:szCs w:val="20"/>
        </w:rPr>
        <w:t xml:space="preserve">The Service may not be used in connection with any technical data, technology, software, or other information that is subject to export control under the International Traffic in Arms Regulations (22 C.F.R. Parts 120–130) ('ITAR'), the Export Administration Regulations (15 C.F.R. Parts 730–774) ('EAR'), or any other applicable U.S. or foreign export control law or regulation.</w:t>
      </w:r>
    </w:p>
    <w:p>
      <w:pPr>
        <w:pStyle w:val="Heading2"/>
        <w:spacing w:after="80" w:before="240"/>
      </w:pPr>
      <w:r>
        <w:rPr>
          <w:rFonts w:ascii="Calibri" w:cs="Calibri" w:eastAsia="Calibri" w:hAnsi="Calibri"/>
          <w:b/>
          <w:bCs/>
          <w:color w:val="1B2A4A"/>
          <w:sz w:val="24"/>
          <w:szCs w:val="24"/>
        </w:rPr>
        <w:t xml:space="preserve">E-1.2 User Opt-Out and Assumption of Liability</w:t>
      </w:r>
    </w:p>
    <w:p>
      <w:pPr>
        <w:spacing w:after="100" w:before="80"/>
        <w:jc w:val="both"/>
      </w:pPr>
      <w:r>
        <w:rPr>
          <w:rFonts w:ascii="Calibri" w:cs="Calibri" w:eastAsia="Calibri" w:hAnsi="Calibri"/>
          <w:b w:val="false"/>
          <w:bCs w:val="false"/>
          <w:i w:val="false"/>
          <w:iCs w:val="false"/>
          <w:caps w:val="false"/>
          <w:color w:val="000000"/>
          <w:sz w:val="20"/>
          <w:szCs w:val="20"/>
        </w:rPr>
        <w:t xml:space="preserve">BY USING THE SERVICE, USER REPRESENTS AND WARRANTS THAT IT WILL NOT SUBMIT TO THE SERVICE ANY INFORMATION, TECHNICAL DATA, OR CONTENT SUBJECT TO ITAR OR EAR CONTROLS. USER ACKNOWLEDGES THAT THE SERVICE IS NOT DESIGNED, CONFIGURED, OR AUTHORIZED FOR USE WITH EXPORT-CONTROLLED TECHNICAL DATA. IF USER SUBMITS EXPORT-CONTROLLED CONTENT TO THE SERVICE IN VIOLATION OF THIS PROVISION, USER ASSUMES SOLE AND EXCLUSIVE LIABILITY FOR ALL CONSEQUENCES ARISING FROM THAT VIOLATION, INCLUDING CIVIL AND CRIMINAL PENALTIES IMPOSED BY THE U.S. DEPARTMENT OF STATE, THE U.S. DEPARTMENT OF COMMERCE, THE U.S. DEPARTMENT OF JUSTICE, OR ANY OTHER REGULATORY AUTHORITY. CRUCIBLE INSIGHT BEARS NO LIABILITY FOR ANY USER VIOLATION OF APPLICABLE EXPORT CONTROL LAWS AND WILL COOPERATE FULLY WITH ANY GOVERNMENT INVESTIGATION OF SUCH VIOLATIONS.</w:t>
      </w:r>
    </w:p>
    <w:p>
      <w:pPr>
        <w:pStyle w:val="Heading2"/>
        <w:spacing w:after="80" w:before="240"/>
      </w:pPr>
      <w:r>
        <w:rPr>
          <w:rFonts w:ascii="Calibri" w:cs="Calibri" w:eastAsia="Calibri" w:hAnsi="Calibri"/>
          <w:b/>
          <w:bCs/>
          <w:color w:val="1B2A4A"/>
          <w:sz w:val="24"/>
          <w:szCs w:val="24"/>
        </w:rPr>
        <w:t xml:space="preserve">E-1.3 Indemnification for Export Violations</w:t>
      </w:r>
    </w:p>
    <w:p>
      <w:pPr>
        <w:spacing w:after="100" w:before="80"/>
        <w:jc w:val="both"/>
      </w:pPr>
      <w:r>
        <w:rPr>
          <w:rFonts w:ascii="Calibri" w:cs="Calibri" w:eastAsia="Calibri" w:hAnsi="Calibri"/>
          <w:b w:val="false"/>
          <w:bCs w:val="false"/>
          <w:i w:val="false"/>
          <w:iCs w:val="false"/>
          <w:caps w:val="false"/>
          <w:color w:val="000000"/>
          <w:sz w:val="20"/>
          <w:szCs w:val="20"/>
        </w:rPr>
        <w:t xml:space="preserve">User agrees to indemnify, defend, and hold harmless Crucible Insight and The Daniel Group LLC from any and all penalties, fines, forfeitures, claims, damages, costs, and attorneys' fees arising from User's submission of export-controlled content to the Service or User's violation of any applicable export control law or regulation in connection with its use of the Service.</w:t>
      </w:r>
    </w:p>
    <w:p>
      <w:pPr>
        <w:pStyle w:val="Heading1"/>
        <w:spacing w:after="120" w:before="360"/>
      </w:pPr>
      <w:r>
        <w:rPr>
          <w:rFonts w:ascii="Calibri" w:cs="Calibri" w:eastAsia="Calibri" w:hAnsi="Calibri"/>
          <w:b/>
          <w:bCs/>
          <w:color w:val="1B2A4A"/>
          <w:sz w:val="28"/>
          <w:szCs w:val="28"/>
        </w:rPr>
        <w:t xml:space="preserve">E-2. SANCTIONS COMPLIANCE</w:t>
      </w:r>
    </w:p>
    <w:p>
      <w:pPr>
        <w:pStyle w:val="Heading2"/>
        <w:spacing w:after="80" w:before="240"/>
      </w:pPr>
      <w:r>
        <w:rPr>
          <w:rFonts w:ascii="Calibri" w:cs="Calibri" w:eastAsia="Calibri" w:hAnsi="Calibri"/>
          <w:b/>
          <w:bCs/>
          <w:color w:val="1B2A4A"/>
          <w:sz w:val="24"/>
          <w:szCs w:val="24"/>
        </w:rPr>
        <w:t xml:space="preserve">E-2.1 Representation and Warranty</w:t>
      </w:r>
    </w:p>
    <w:p>
      <w:pPr>
        <w:spacing w:after="100" w:before="80"/>
        <w:jc w:val="both"/>
      </w:pPr>
      <w:r>
        <w:rPr>
          <w:rFonts w:ascii="Calibri" w:cs="Calibri" w:eastAsia="Calibri" w:hAnsi="Calibri"/>
          <w:b w:val="false"/>
          <w:bCs w:val="false"/>
          <w:i w:val="false"/>
          <w:iCs w:val="false"/>
          <w:caps w:val="false"/>
          <w:color w:val="000000"/>
          <w:sz w:val="20"/>
          <w:szCs w:val="20"/>
        </w:rPr>
        <w:t xml:space="preserve">By accessing or using the Service, User represents and warrants at the time of account creation and on a continuing basis throughout the term of the subscription that: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User is not located in, organized under the laws of, or ordinarily resident in any country or territory subject to comprehensive U.S. sanctions administered by the Office of Foreign Assets Control (OFAC), currently including Cuba, Iran, North Korea, Syria, and the Crimea, Donetsk, and Luhansk regions of Ukraine;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User is not identified on the OFAC Specially Designated Nationals and Blocked Persons List (SDN List), the OFAC Consolidated Sanctions List, the Bureau of Industry and Security (BIS) Entity List, the BIS Denied Persons List, or any other U.S. Government restricted party list;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User is not owned or controlled, directly or indirectly, by any person or entity on any such list; and</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User will not use the Service, directly or indirectly, for the benefit of any person, entity, or jurisdiction identified in the foregoing items.</w:t>
      </w:r>
    </w:p>
    <w:p>
      <w:pPr>
        <w:pStyle w:val="Heading2"/>
        <w:spacing w:after="80" w:before="240"/>
      </w:pPr>
      <w:r>
        <w:rPr>
          <w:rFonts w:ascii="Calibri" w:cs="Calibri" w:eastAsia="Calibri" w:hAnsi="Calibri"/>
          <w:b/>
          <w:bCs/>
          <w:color w:val="1B2A4A"/>
          <w:sz w:val="24"/>
          <w:szCs w:val="24"/>
        </w:rPr>
        <w:t xml:space="preserve">E-2.2 Immediate Reporting Obligation</w:t>
      </w:r>
    </w:p>
    <w:p>
      <w:pPr>
        <w:spacing w:after="100" w:before="80"/>
        <w:jc w:val="both"/>
      </w:pPr>
      <w:r>
        <w:rPr>
          <w:rFonts w:ascii="Calibri" w:cs="Calibri" w:eastAsia="Calibri" w:hAnsi="Calibri"/>
          <w:b w:val="false"/>
          <w:bCs w:val="false"/>
          <w:i w:val="false"/>
          <w:iCs w:val="false"/>
          <w:caps w:val="false"/>
          <w:color w:val="000000"/>
          <w:sz w:val="20"/>
          <w:szCs w:val="20"/>
        </w:rPr>
        <w:t xml:space="preserve">User agrees to notify Crucible Insight immediately upon becoming aware that any of the representations in Section E-2.1 are no longer accurate. Crucible Insight reserves the right to terminate any account immediately and without refund upon reasonable suspicion that a User is a sanctioned person or entity.</w:t>
      </w:r>
    </w:p>
    <w:p>
      <w:pPr>
        <w:pStyle w:val="Heading2"/>
        <w:spacing w:after="80" w:before="240"/>
      </w:pPr>
      <w:r>
        <w:rPr>
          <w:rFonts w:ascii="Calibri" w:cs="Calibri" w:eastAsia="Calibri" w:hAnsi="Calibri"/>
          <w:b/>
          <w:bCs/>
          <w:color w:val="1B2A4A"/>
          <w:sz w:val="24"/>
          <w:szCs w:val="24"/>
        </w:rPr>
        <w:t xml:space="preserve">E-2.3 Indemnification for Sanctions Violations</w:t>
      </w:r>
    </w:p>
    <w:p>
      <w:pPr>
        <w:spacing w:after="100" w:before="80"/>
        <w:jc w:val="both"/>
      </w:pPr>
      <w:r>
        <w:rPr>
          <w:rFonts w:ascii="Calibri" w:cs="Calibri" w:eastAsia="Calibri" w:hAnsi="Calibri"/>
          <w:b w:val="false"/>
          <w:bCs w:val="false"/>
          <w:i w:val="false"/>
          <w:iCs w:val="false"/>
          <w:caps w:val="false"/>
          <w:color w:val="000000"/>
          <w:sz w:val="20"/>
          <w:szCs w:val="20"/>
        </w:rPr>
        <w:t xml:space="preserve">User agrees to indemnify, defend, and hold harmless Crucible Insight and The Daniel Group LLC from any and all penalties, fines, forfeitures, claims, damages, costs, and attorneys' fees arising from User's breach of the representations in Section E-2.1 or User's use of the Service in violation of applicable sanctions laws.</w:t>
      </w:r>
    </w:p>
    <w:p>
      <w:pPr>
        <w:spacing w:before="160"/>
      </w:pPr>
    </w:p>
    <w:p>
      <w:pPr>
        <w:pBdr>
          <w:bottom w:val="single" w:color="B8960C" w:sz="6"/>
        </w:pBdr>
        <w:spacing w:after="200" w:before="200"/>
      </w:pPr>
    </w:p>
    <w:p>
      <w:r>
        <w:br w:type="page"/>
      </w:r>
    </w:p>
    <w:p>
      <w:pPr>
        <w:spacing w:after="80" w:before="0"/>
        <w:jc w:val="center"/>
      </w:pPr>
      <w:r>
        <w:rPr>
          <w:rFonts w:ascii="Calibri" w:cs="Calibri" w:eastAsia="Calibri" w:hAnsi="Calibri"/>
          <w:b/>
          <w:bCs/>
          <w:color w:val="1B2A4A"/>
          <w:sz w:val="26"/>
          <w:szCs w:val="26"/>
        </w:rPr>
        <w:t xml:space="preserve">EXHIBIT F</w:t>
      </w:r>
    </w:p>
    <w:p>
      <w:pPr>
        <w:spacing w:after="80" w:before="0"/>
        <w:jc w:val="center"/>
      </w:pPr>
      <w:r>
        <w:rPr>
          <w:rFonts w:ascii="Calibri" w:cs="Calibri" w:eastAsia="Calibri" w:hAnsi="Calibri"/>
          <w:b/>
          <w:bCs/>
          <w:color w:val="1B2A4A"/>
          <w:sz w:val="24"/>
          <w:szCs w:val="24"/>
        </w:rPr>
        <w:t xml:space="preserve">SERVICE LEVEL AND AVAILABILITY</w:t>
      </w:r>
    </w:p>
    <w:p>
      <w:pPr>
        <w:spacing w:before="40"/>
      </w:pPr>
    </w:p>
    <w:p>
      <w:pPr>
        <w:pStyle w:val="Heading1"/>
        <w:spacing w:after="120" w:before="360"/>
      </w:pPr>
      <w:r>
        <w:rPr>
          <w:rFonts w:ascii="Calibri" w:cs="Calibri" w:eastAsia="Calibri" w:hAnsi="Calibri"/>
          <w:b/>
          <w:bCs/>
          <w:color w:val="1B2A4A"/>
          <w:sz w:val="28"/>
          <w:szCs w:val="28"/>
        </w:rPr>
        <w:t xml:space="preserve">F-1. NATURE OF AVAILABILITY COMMITMENT</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will use commercially reasonable efforts to maintain Service availability. The Service is hosted on and dependent upon third-party infrastructure providers, including but not limited to Amazon Web Services (AWS) and third-party artificial intelligence API providers ('Upstream Providers'). Service availability is subject to the availability, performance, and operational status of those Upstream Providers.</w:t>
      </w:r>
    </w:p>
    <w:p>
      <w:pPr>
        <w:pStyle w:val="Heading1"/>
        <w:spacing w:after="120" w:before="360"/>
      </w:pPr>
      <w:r>
        <w:rPr>
          <w:rFonts w:ascii="Calibri" w:cs="Calibri" w:eastAsia="Calibri" w:hAnsi="Calibri"/>
          <w:b/>
          <w:bCs/>
          <w:color w:val="1B2A4A"/>
          <w:sz w:val="28"/>
          <w:szCs w:val="28"/>
        </w:rPr>
        <w:t xml:space="preserve">F-2. BEST-EFFORTS SLA</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targets a monthly uptime of 99.0% for the DARA application layer, measured on a calendar month basis and excluding scheduled maintenance windows and downtime attributable to Upstream Provider outages. This target is a best-efforts commitment and does not constitute a contractual guarantee. Crucible Insight does not warrant any specific level of availability.</w:t>
      </w:r>
    </w:p>
    <w:p>
      <w:pPr>
        <w:pStyle w:val="Heading1"/>
        <w:spacing w:after="120" w:before="360"/>
      </w:pPr>
      <w:r>
        <w:rPr>
          <w:rFonts w:ascii="Calibri" w:cs="Calibri" w:eastAsia="Calibri" w:hAnsi="Calibri"/>
          <w:b/>
          <w:bCs/>
          <w:color w:val="1B2A4A"/>
          <w:sz w:val="28"/>
          <w:szCs w:val="28"/>
        </w:rPr>
        <w:t xml:space="preserve">F-3. EXCLUSIONS FROM UPTIME CALCULATION</w:t>
      </w:r>
    </w:p>
    <w:p>
      <w:pPr>
        <w:spacing w:after="100" w:before="80"/>
        <w:jc w:val="both"/>
      </w:pPr>
      <w:r>
        <w:rPr>
          <w:rFonts w:ascii="Calibri" w:cs="Calibri" w:eastAsia="Calibri" w:hAnsi="Calibri"/>
          <w:b w:val="false"/>
          <w:bCs w:val="false"/>
          <w:i w:val="false"/>
          <w:iCs w:val="false"/>
          <w:caps w:val="false"/>
          <w:color w:val="000000"/>
          <w:sz w:val="20"/>
          <w:szCs w:val="20"/>
        </w:rPr>
        <w:t xml:space="preserve">Downtime attributable to any of the following is excluded from uptime calculations and does not constitute a Service failure: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Scheduled or emergency maintenance windows announced at least 24 hours in advance via the Service status page;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Outages, degradation, or errors originating from AWS, Anthropic, or any other Upstream Provider's infrastructure;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Third-party API unavailability, including Microsoft Graph, Google Drive API, or any other integration endpoint;</w:t>
      </w:r>
    </w:p>
    <w:p>
      <w:pPr>
        <w:pStyle w:val="ListParagraph"/>
        <w:numPr>
          <w:ilvl w:val="0"/>
          <w:numId w:val="1"/>
        </w:numPr>
        <w:spacing w:after="60" w:before="60"/>
        <w:ind w:left="576" w:hanging="288"/>
      </w:pPr>
      <w:r>
        <w:rPr>
          <w:rFonts w:ascii="Calibri" w:cs="Calibri" w:eastAsia="Calibri" w:hAnsi="Calibri"/>
          <w:color w:val="000000"/>
          <w:sz w:val="20"/>
          <w:szCs w:val="20"/>
        </w:rPr>
        <w:t xml:space="preserve">User-caused errors, misconfigurations, or excessive API usage;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Force majeure events as defined in the Terms; and</w:t>
      </w:r>
    </w:p>
    <w:p>
      <w:pPr>
        <w:pStyle w:val="ListParagraph"/>
        <w:numPr>
          <w:ilvl w:val="0"/>
          <w:numId w:val="1"/>
        </w:numPr>
        <w:spacing w:after="60" w:before="60"/>
        <w:ind w:left="576" w:hanging="288"/>
      </w:pPr>
      <w:r>
        <w:rPr>
          <w:rFonts w:ascii="Calibri" w:cs="Calibri" w:eastAsia="Calibri" w:hAnsi="Calibri"/>
          <w:color w:val="000000"/>
          <w:sz w:val="20"/>
          <w:szCs w:val="20"/>
        </w:rPr>
        <w:t xml:space="preserve">Circumstances beyond Crucible Insight's reasonable control.</w:t>
      </w:r>
    </w:p>
    <w:p>
      <w:pPr>
        <w:pStyle w:val="Heading1"/>
        <w:spacing w:after="120" w:before="360"/>
      </w:pPr>
      <w:r>
        <w:rPr>
          <w:rFonts w:ascii="Calibri" w:cs="Calibri" w:eastAsia="Calibri" w:hAnsi="Calibri"/>
          <w:b/>
          <w:bCs/>
          <w:color w:val="1B2A4A"/>
          <w:sz w:val="28"/>
          <w:szCs w:val="28"/>
        </w:rPr>
        <w:t xml:space="preserve">F-4. NO SERVICE CREDITS</w:t>
      </w:r>
    </w:p>
    <w:p>
      <w:pPr>
        <w:spacing w:after="100" w:before="80"/>
        <w:jc w:val="both"/>
      </w:pPr>
      <w:r>
        <w:rPr>
          <w:rFonts w:ascii="Calibri" w:cs="Calibri" w:eastAsia="Calibri" w:hAnsi="Calibri"/>
          <w:b w:val="false"/>
          <w:bCs w:val="false"/>
          <w:i w:val="false"/>
          <w:iCs w:val="false"/>
          <w:caps w:val="false"/>
          <w:color w:val="000000"/>
          <w:sz w:val="20"/>
          <w:szCs w:val="20"/>
        </w:rPr>
        <w:t xml:space="preserve">This Addendum does not establish a service credit program. Failure to meet the best-efforts availability target does not entitle any User to a credit, refund, or fee reduction of any kind. The exclusion of warranties in Section 9 of the Terms applies fully to Service availability.</w:t>
      </w:r>
    </w:p>
    <w:p>
      <w:pPr>
        <w:pStyle w:val="Heading1"/>
        <w:spacing w:after="120" w:before="360"/>
      </w:pPr>
      <w:r>
        <w:rPr>
          <w:rFonts w:ascii="Calibri" w:cs="Calibri" w:eastAsia="Calibri" w:hAnsi="Calibri"/>
          <w:b/>
          <w:bCs/>
          <w:color w:val="1B2A4A"/>
          <w:sz w:val="28"/>
          <w:szCs w:val="28"/>
        </w:rPr>
        <w:t xml:space="preserve">F-5. STATUS PAGE</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maintains a Service status page providing real-time and historical availability information. Users are encouraged to monitor the status page and subscribe to incident notifications. The status page URL is published at dara.crucibleinsight.com/status.</w:t>
      </w:r>
    </w:p>
    <w:p>
      <w:pPr>
        <w:spacing w:before="160"/>
      </w:pPr>
    </w:p>
    <w:p>
      <w:pPr>
        <w:pBdr>
          <w:bottom w:val="single" w:color="B8960C" w:sz="6"/>
        </w:pBdr>
        <w:spacing w:after="200" w:before="200"/>
      </w:pPr>
    </w:p>
    <w:p>
      <w:r>
        <w:br w:type="page"/>
      </w:r>
    </w:p>
    <w:p>
      <w:pPr>
        <w:spacing w:after="80" w:before="0"/>
        <w:jc w:val="center"/>
      </w:pPr>
      <w:r>
        <w:rPr>
          <w:rFonts w:ascii="Calibri" w:cs="Calibri" w:eastAsia="Calibri" w:hAnsi="Calibri"/>
          <w:b/>
          <w:bCs/>
          <w:color w:val="1B2A4A"/>
          <w:sz w:val="26"/>
          <w:szCs w:val="26"/>
        </w:rPr>
        <w:t xml:space="preserve">EXHIBIT G</w:t>
      </w:r>
    </w:p>
    <w:p>
      <w:pPr>
        <w:spacing w:after="80" w:before="0"/>
        <w:jc w:val="center"/>
      </w:pPr>
      <w:r>
        <w:rPr>
          <w:rFonts w:ascii="Calibri" w:cs="Calibri" w:eastAsia="Calibri" w:hAnsi="Calibri"/>
          <w:b/>
          <w:bCs/>
          <w:color w:val="1B2A4A"/>
          <w:sz w:val="24"/>
          <w:szCs w:val="24"/>
        </w:rPr>
        <w:t xml:space="preserve">COPYRIGHT, DMCA, AND INTELLECTUAL PROPERTY POLICY</w:t>
      </w:r>
    </w:p>
    <w:p>
      <w:pPr>
        <w:spacing w:before="40"/>
      </w:pPr>
    </w:p>
    <w:p>
      <w:pPr>
        <w:pStyle w:val="Heading1"/>
        <w:spacing w:after="120" w:before="360"/>
      </w:pPr>
      <w:r>
        <w:rPr>
          <w:rFonts w:ascii="Calibri" w:cs="Calibri" w:eastAsia="Calibri" w:hAnsi="Calibri"/>
          <w:b/>
          <w:bCs/>
          <w:color w:val="1B2A4A"/>
          <w:sz w:val="28"/>
          <w:szCs w:val="28"/>
        </w:rPr>
        <w:t xml:space="preserve">G-1. COPYRIGHT COMPLIANCE</w:t>
      </w:r>
    </w:p>
    <w:p>
      <w:pPr>
        <w:spacing w:after="100" w:before="80"/>
        <w:jc w:val="both"/>
      </w:pPr>
      <w:r>
        <w:rPr>
          <w:rFonts w:ascii="Calibri" w:cs="Calibri" w:eastAsia="Calibri" w:hAnsi="Calibri"/>
          <w:b w:val="false"/>
          <w:bCs w:val="false"/>
          <w:i w:val="false"/>
          <w:iCs w:val="false"/>
          <w:caps w:val="false"/>
          <w:color w:val="000000"/>
          <w:sz w:val="20"/>
          <w:szCs w:val="20"/>
        </w:rPr>
        <w:t xml:space="preserve">Users are prohibited from submitting to the Service any content that infringes the copyright, trademark, trade secret, or other intellectual property rights of any third party. This prohibition includes, without limitation, government-furnished documents marked with distribution limitations, proprietary solicitation materials shared under non-disclosure obligations, and third-party technical data for which the User does not hold an appropriate license.</w:t>
      </w:r>
    </w:p>
    <w:p>
      <w:pPr>
        <w:pStyle w:val="Heading1"/>
        <w:spacing w:after="120" w:before="360"/>
      </w:pPr>
      <w:r>
        <w:rPr>
          <w:rFonts w:ascii="Calibri" w:cs="Calibri" w:eastAsia="Calibri" w:hAnsi="Calibri"/>
          <w:b/>
          <w:bCs/>
          <w:color w:val="1B2A4A"/>
          <w:sz w:val="28"/>
          <w:szCs w:val="28"/>
        </w:rPr>
        <w:t xml:space="preserve">G-2. PLATFORM KEY ENCRYPTION AND DATA ISOLATION</w:t>
      </w:r>
    </w:p>
    <w:p>
      <w:pPr>
        <w:spacing w:after="100" w:before="80"/>
        <w:jc w:val="both"/>
      </w:pPr>
      <w:r>
        <w:rPr>
          <w:rFonts w:ascii="Calibri" w:cs="Calibri" w:eastAsia="Calibri" w:hAnsi="Calibri"/>
          <w:b w:val="false"/>
          <w:bCs w:val="false"/>
          <w:i w:val="false"/>
          <w:iCs w:val="false"/>
          <w:caps w:val="false"/>
          <w:color w:val="000000"/>
          <w:sz w:val="20"/>
          <w:szCs w:val="20"/>
        </w:rPr>
        <w:t xml:space="preserve">Where a User does not activate the Bring Your Own Key (BYOK) feature, User Content is encrypted at rest and in transit using encryption keys managed by Crucible Insight ('Platform Keys'). Platform Key encryption provides technical isolation of User Content within the Service infrastructure. Crucible Insight does not use Platform Key-encrypted User Content to train machine learning models, share it with third parties except as required to deliver the Service, or retain it beyond the periods specified in Section 5.3 of the Terms. Each User's encrypted data environment is logically separated from other Users' data. Crucible Insight's use of Platform Keys does not constitute access to User Content for any purpose beyond encryption management and Service delivery.</w:t>
      </w:r>
    </w:p>
    <w:p>
      <w:pPr>
        <w:pStyle w:val="Heading1"/>
        <w:spacing w:after="120" w:before="360"/>
      </w:pPr>
      <w:r>
        <w:rPr>
          <w:rFonts w:ascii="Calibri" w:cs="Calibri" w:eastAsia="Calibri" w:hAnsi="Calibri"/>
          <w:b/>
          <w:bCs/>
          <w:color w:val="1B2A4A"/>
          <w:sz w:val="28"/>
          <w:szCs w:val="28"/>
        </w:rPr>
        <w:t xml:space="preserve">G-3. AGGREGATED DATA AND MODEL IMPROVEMENT</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may use aggregated, de-identified, non-attributable usage metrics — including feature interaction patterns, query volume, and system performance data — for product improvement, benchmarking, and research purposes. Crucible Insight will not use the substantive content of any User's Input or Output, whether encrypted with Platform Keys or BYOK, to train, fine-tune, or otherwise improve any machine learning or artificial intelligence model without the User's express written consent. This restriction applies regardless of whether the content has been de-identified.</w:t>
      </w:r>
    </w:p>
    <w:p>
      <w:pPr>
        <w:pStyle w:val="Heading1"/>
        <w:spacing w:after="120" w:before="360"/>
      </w:pPr>
      <w:r>
        <w:rPr>
          <w:rFonts w:ascii="Calibri" w:cs="Calibri" w:eastAsia="Calibri" w:hAnsi="Calibri"/>
          <w:b/>
          <w:bCs/>
          <w:color w:val="1B2A4A"/>
          <w:sz w:val="28"/>
          <w:szCs w:val="28"/>
        </w:rPr>
        <w:t xml:space="preserve">G-4. DMCA SAFE HARBOR</w:t>
      </w:r>
    </w:p>
    <w:p>
      <w:pPr>
        <w:pStyle w:val="Heading2"/>
        <w:spacing w:after="80" w:before="240"/>
      </w:pPr>
      <w:r>
        <w:rPr>
          <w:rFonts w:ascii="Calibri" w:cs="Calibri" w:eastAsia="Calibri" w:hAnsi="Calibri"/>
          <w:b/>
          <w:bCs/>
          <w:color w:val="1B2A4A"/>
          <w:sz w:val="24"/>
          <w:szCs w:val="24"/>
        </w:rPr>
        <w:t xml:space="preserve">G-4.1 Designated Agent</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has registered a designated agent with the U.S. Copyright Office in accordance with the Digital Millennium Copyright Act (17 U.S.C. § 512) ('DMCA'). Copyright infringement notices must be submitted to the designated agent at the contact address published at dara.crucibleinsight.com/dmca.</w:t>
      </w:r>
    </w:p>
    <w:p>
      <w:pPr>
        <w:pStyle w:val="Heading2"/>
        <w:spacing w:after="80" w:before="240"/>
      </w:pPr>
      <w:r>
        <w:rPr>
          <w:rFonts w:ascii="Calibri" w:cs="Calibri" w:eastAsia="Calibri" w:hAnsi="Calibri"/>
          <w:b/>
          <w:bCs/>
          <w:color w:val="1B2A4A"/>
          <w:sz w:val="24"/>
          <w:szCs w:val="24"/>
        </w:rPr>
        <w:t xml:space="preserve">G-4.2 Takedown Procedure</w:t>
      </w:r>
    </w:p>
    <w:p>
      <w:pPr>
        <w:spacing w:after="100" w:before="80"/>
        <w:jc w:val="both"/>
      </w:pPr>
      <w:r>
        <w:rPr>
          <w:rFonts w:ascii="Calibri" w:cs="Calibri" w:eastAsia="Calibri" w:hAnsi="Calibri"/>
          <w:b w:val="false"/>
          <w:bCs w:val="false"/>
          <w:i w:val="false"/>
          <w:iCs w:val="false"/>
          <w:caps w:val="false"/>
          <w:color w:val="000000"/>
          <w:sz w:val="20"/>
          <w:szCs w:val="20"/>
        </w:rPr>
        <w:t xml:space="preserve">To submit a valid DMCA takedown notice, the complaining party must provide: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A physical or electronic signature of a person authorized to act on behalf of the copyright owner;</w:t>
      </w:r>
    </w:p>
    <w:p>
      <w:pPr>
        <w:pStyle w:val="ListParagraph"/>
        <w:numPr>
          <w:ilvl w:val="0"/>
          <w:numId w:val="1"/>
        </w:numPr>
        <w:spacing w:after="60" w:before="60"/>
        <w:ind w:left="576" w:hanging="288"/>
      </w:pPr>
      <w:r>
        <w:rPr>
          <w:rFonts w:ascii="Calibri" w:cs="Calibri" w:eastAsia="Calibri" w:hAnsi="Calibri"/>
          <w:color w:val="000000"/>
          <w:sz w:val="20"/>
          <w:szCs w:val="20"/>
        </w:rPr>
        <w:t xml:space="preserve">Identification of the copyrighted work claimed to have been infringed;</w:t>
      </w:r>
    </w:p>
    <w:p>
      <w:pPr>
        <w:pStyle w:val="ListParagraph"/>
        <w:numPr>
          <w:ilvl w:val="0"/>
          <w:numId w:val="1"/>
        </w:numPr>
        <w:spacing w:after="60" w:before="60"/>
        <w:ind w:left="576" w:hanging="288"/>
      </w:pPr>
      <w:r>
        <w:rPr>
          <w:rFonts w:ascii="Calibri" w:cs="Calibri" w:eastAsia="Calibri" w:hAnsi="Calibri"/>
          <w:color w:val="000000"/>
          <w:sz w:val="20"/>
          <w:szCs w:val="20"/>
        </w:rPr>
        <w:t xml:space="preserve">Identification of the allegedly infringing material and sufficient information to locate it within the Service;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Contact information for the complaining party;</w:t>
      </w:r>
    </w:p>
    <w:p>
      <w:pPr>
        <w:pStyle w:val="ListParagraph"/>
        <w:numPr>
          <w:ilvl w:val="0"/>
          <w:numId w:val="1"/>
        </w:numPr>
        <w:spacing w:after="60" w:before="60"/>
        <w:ind w:left="576" w:hanging="288"/>
      </w:pPr>
      <w:r>
        <w:rPr>
          <w:rFonts w:ascii="Calibri" w:cs="Calibri" w:eastAsia="Calibri" w:hAnsi="Calibri"/>
          <w:color w:val="000000"/>
          <w:sz w:val="20"/>
          <w:szCs w:val="20"/>
        </w:rPr>
        <w:t xml:space="preserve">A statement that the complaining party has a good faith belief that the use is not authorized by the copyright owner, its agent, or applicable law; and</w:t>
      </w:r>
    </w:p>
    <w:p>
      <w:pPr>
        <w:pStyle w:val="ListParagraph"/>
        <w:numPr>
          <w:ilvl w:val="0"/>
          <w:numId w:val="1"/>
        </w:numPr>
        <w:spacing w:after="60" w:before="60"/>
        <w:ind w:left="576" w:hanging="288"/>
      </w:pPr>
      <w:r>
        <w:rPr>
          <w:rFonts w:ascii="Calibri" w:cs="Calibri" w:eastAsia="Calibri" w:hAnsi="Calibri"/>
          <w:color w:val="000000"/>
          <w:sz w:val="20"/>
          <w:szCs w:val="20"/>
        </w:rPr>
        <w:t xml:space="preserve">A statement under penalty of perjury that the information in the notice is accurate and that the complaining party is authorized to act on behalf of the copyright owner.</w:t>
      </w:r>
    </w:p>
    <w:p>
      <w:pPr>
        <w:pStyle w:val="Heading2"/>
        <w:spacing w:after="80" w:before="240"/>
      </w:pPr>
      <w:r>
        <w:rPr>
          <w:rFonts w:ascii="Calibri" w:cs="Calibri" w:eastAsia="Calibri" w:hAnsi="Calibri"/>
          <w:b/>
          <w:bCs/>
          <w:color w:val="1B2A4A"/>
          <w:sz w:val="24"/>
          <w:szCs w:val="24"/>
        </w:rPr>
        <w:t xml:space="preserve">G-4.3 Counter-Notification</w:t>
      </w:r>
    </w:p>
    <w:p>
      <w:pPr>
        <w:spacing w:after="100" w:before="80"/>
        <w:jc w:val="both"/>
      </w:pPr>
      <w:r>
        <w:rPr>
          <w:rFonts w:ascii="Calibri" w:cs="Calibri" w:eastAsia="Calibri" w:hAnsi="Calibri"/>
          <w:b w:val="false"/>
          <w:bCs w:val="false"/>
          <w:i w:val="false"/>
          <w:iCs w:val="false"/>
          <w:caps w:val="false"/>
          <w:color w:val="000000"/>
          <w:sz w:val="20"/>
          <w:szCs w:val="20"/>
        </w:rPr>
        <w:t xml:space="preserve">A User whose content has been removed pursuant to a DMCA takedown notice may submit a counter-notification in accordance with 17 U.S.C. § 512(g). Counter-notifications must include all elements required by the DMCA and be submitted to the designated agent.</w:t>
      </w:r>
    </w:p>
    <w:p>
      <w:pPr>
        <w:pStyle w:val="Heading2"/>
        <w:spacing w:after="80" w:before="240"/>
      </w:pPr>
      <w:r>
        <w:rPr>
          <w:rFonts w:ascii="Calibri" w:cs="Calibri" w:eastAsia="Calibri" w:hAnsi="Calibri"/>
          <w:b/>
          <w:bCs/>
          <w:color w:val="1B2A4A"/>
          <w:sz w:val="24"/>
          <w:szCs w:val="24"/>
        </w:rPr>
        <w:t xml:space="preserve">G-4.4 Repeat Infringers</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will terminate accounts of Users who are determined to be repeat infringers of third-party intellectual property rights in appropriate circumstances.</w:t>
      </w:r>
    </w:p>
    <w:p>
      <w:pPr>
        <w:pStyle w:val="Heading1"/>
        <w:spacing w:after="120" w:before="360"/>
      </w:pPr>
      <w:r>
        <w:rPr>
          <w:rFonts w:ascii="Calibri" w:cs="Calibri" w:eastAsia="Calibri" w:hAnsi="Calibri"/>
          <w:b/>
          <w:bCs/>
          <w:color w:val="1B2A4A"/>
          <w:sz w:val="28"/>
          <w:szCs w:val="28"/>
        </w:rPr>
        <w:t xml:space="preserve">G-5. OUTPUT INTELLECTUAL PROPERTY</w:t>
      </w:r>
    </w:p>
    <w:p>
      <w:pPr>
        <w:spacing w:after="100" w:before="80"/>
        <w:jc w:val="both"/>
      </w:pPr>
      <w:r>
        <w:rPr>
          <w:rFonts w:ascii="Calibri" w:cs="Calibri" w:eastAsia="Calibri" w:hAnsi="Calibri"/>
          <w:b w:val="false"/>
          <w:bCs w:val="false"/>
          <w:i w:val="false"/>
          <w:iCs w:val="false"/>
          <w:caps w:val="false"/>
          <w:color w:val="000000"/>
          <w:sz w:val="20"/>
          <w:szCs w:val="20"/>
        </w:rPr>
        <w:t xml:space="preserve">Output generated by the Service in response to User Input is provided for User's internal business use. User retains responsibility for ensuring that reliance on Output does not infringe any third party's intellectual property rights. Crucible Insight makes no representation that Output is free from third-party intellectual property claims.</w:t>
      </w:r>
    </w:p>
    <w:p>
      <w:pPr>
        <w:spacing w:before="160"/>
      </w:pPr>
    </w:p>
    <w:p>
      <w:pPr>
        <w:pBdr>
          <w:bottom w:val="single" w:color="B8960C" w:sz="6"/>
        </w:pBdr>
        <w:spacing w:after="200" w:before="200"/>
      </w:pPr>
    </w:p>
    <w:p>
      <w:r>
        <w:br w:type="page"/>
      </w:r>
    </w:p>
    <w:p>
      <w:pPr>
        <w:spacing w:after="80" w:before="0"/>
        <w:jc w:val="center"/>
      </w:pPr>
      <w:r>
        <w:rPr>
          <w:rFonts w:ascii="Calibri" w:cs="Calibri" w:eastAsia="Calibri" w:hAnsi="Calibri"/>
          <w:b/>
          <w:bCs/>
          <w:color w:val="1B2A4A"/>
          <w:sz w:val="26"/>
          <w:szCs w:val="26"/>
        </w:rPr>
        <w:t xml:space="preserve">EXHIBIT H</w:t>
      </w:r>
    </w:p>
    <w:p>
      <w:pPr>
        <w:spacing w:after="80" w:before="0"/>
        <w:jc w:val="center"/>
      </w:pPr>
      <w:r>
        <w:rPr>
          <w:rFonts w:ascii="Calibri" w:cs="Calibri" w:eastAsia="Calibri" w:hAnsi="Calibri"/>
          <w:b/>
          <w:bCs/>
          <w:color w:val="1B2A4A"/>
          <w:sz w:val="24"/>
          <w:szCs w:val="24"/>
        </w:rPr>
        <w:t xml:space="preserve">ACCOUNT SUSPENSION, TERMINATION, AND APPEALS</w:t>
      </w:r>
    </w:p>
    <w:p>
      <w:pPr>
        <w:spacing w:before="40"/>
      </w:pPr>
    </w:p>
    <w:p>
      <w:pPr>
        <w:pStyle w:val="Heading1"/>
        <w:spacing w:after="120" w:before="360"/>
      </w:pPr>
      <w:r>
        <w:rPr>
          <w:rFonts w:ascii="Calibri" w:cs="Calibri" w:eastAsia="Calibri" w:hAnsi="Calibri"/>
          <w:b/>
          <w:bCs/>
          <w:color w:val="1B2A4A"/>
          <w:sz w:val="28"/>
          <w:szCs w:val="28"/>
        </w:rPr>
        <w:t xml:space="preserve">H-1. GROUNDS FOR SUSPENSION</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may immediately suspend a User's access to the Service, without prior notice, upon reasonable determination of any of the following:</w:t>
      </w:r>
    </w:p>
    <w:p>
      <w:pPr>
        <w:pStyle w:val="ListParagraph"/>
        <w:numPr>
          <w:ilvl w:val="0"/>
          <w:numId w:val="1"/>
        </w:numPr>
        <w:spacing w:after="60" w:before="60"/>
        <w:ind w:left="576" w:hanging="288"/>
      </w:pPr>
      <w:r>
        <w:rPr>
          <w:rFonts w:ascii="Calibri" w:cs="Calibri" w:eastAsia="Calibri" w:hAnsi="Calibri"/>
          <w:color w:val="000000"/>
          <w:sz w:val="20"/>
          <w:szCs w:val="20"/>
        </w:rPr>
        <w:t xml:space="preserve">Submission of CUI, FCI, ITAR-controlled, or EAR-controlled content to the Service in violation of the Terms or this Addendum;</w:t>
      </w:r>
    </w:p>
    <w:p>
      <w:pPr>
        <w:pStyle w:val="ListParagraph"/>
        <w:numPr>
          <w:ilvl w:val="0"/>
          <w:numId w:val="1"/>
        </w:numPr>
        <w:spacing w:after="60" w:before="60"/>
        <w:ind w:left="576" w:hanging="288"/>
      </w:pPr>
      <w:r>
        <w:rPr>
          <w:rFonts w:ascii="Calibri" w:cs="Calibri" w:eastAsia="Calibri" w:hAnsi="Calibri"/>
          <w:color w:val="000000"/>
          <w:sz w:val="20"/>
          <w:szCs w:val="20"/>
        </w:rPr>
        <w:t xml:space="preserve">Violation of the Acceptable Use Policy in Exhibit C;</w:t>
      </w:r>
    </w:p>
    <w:p>
      <w:pPr>
        <w:pStyle w:val="ListParagraph"/>
        <w:numPr>
          <w:ilvl w:val="0"/>
          <w:numId w:val="1"/>
        </w:numPr>
        <w:spacing w:after="60" w:before="60"/>
        <w:ind w:left="576" w:hanging="288"/>
      </w:pPr>
      <w:r>
        <w:rPr>
          <w:rFonts w:ascii="Calibri" w:cs="Calibri" w:eastAsia="Calibri" w:hAnsi="Calibri"/>
          <w:color w:val="000000"/>
          <w:sz w:val="20"/>
          <w:szCs w:val="20"/>
        </w:rPr>
        <w:t xml:space="preserve">Non-payment of subscription fees following the failed payment cure period in Section D-3.5;</w:t>
      </w:r>
    </w:p>
    <w:p>
      <w:pPr>
        <w:pStyle w:val="ListParagraph"/>
        <w:numPr>
          <w:ilvl w:val="0"/>
          <w:numId w:val="1"/>
        </w:numPr>
        <w:spacing w:after="60" w:before="60"/>
        <w:ind w:left="576" w:hanging="288"/>
      </w:pPr>
      <w:r>
        <w:rPr>
          <w:rFonts w:ascii="Calibri" w:cs="Calibri" w:eastAsia="Calibri" w:hAnsi="Calibri"/>
          <w:color w:val="000000"/>
          <w:sz w:val="20"/>
          <w:szCs w:val="20"/>
        </w:rPr>
        <w:t xml:space="preserve">Reasonable suspicion that the User is a sanctioned person or entity as described in Exhibit E;</w:t>
      </w:r>
    </w:p>
    <w:p>
      <w:pPr>
        <w:pStyle w:val="ListParagraph"/>
        <w:numPr>
          <w:ilvl w:val="0"/>
          <w:numId w:val="1"/>
        </w:numPr>
        <w:spacing w:after="60" w:before="60"/>
        <w:ind w:left="576" w:hanging="288"/>
      </w:pPr>
      <w:r>
        <w:rPr>
          <w:rFonts w:ascii="Calibri" w:cs="Calibri" w:eastAsia="Calibri" w:hAnsi="Calibri"/>
          <w:color w:val="000000"/>
          <w:sz w:val="20"/>
          <w:szCs w:val="20"/>
        </w:rPr>
        <w:t xml:space="preserve">Reasonable suspicion of fraudulent activity, identity misrepresentation, or unauthorized account access;</w:t>
      </w:r>
    </w:p>
    <w:p>
      <w:pPr>
        <w:pStyle w:val="ListParagraph"/>
        <w:numPr>
          <w:ilvl w:val="0"/>
          <w:numId w:val="1"/>
        </w:numPr>
        <w:spacing w:after="60" w:before="60"/>
        <w:ind w:left="576" w:hanging="288"/>
      </w:pPr>
      <w:r>
        <w:rPr>
          <w:rFonts w:ascii="Calibri" w:cs="Calibri" w:eastAsia="Calibri" w:hAnsi="Calibri"/>
          <w:color w:val="000000"/>
          <w:sz w:val="20"/>
          <w:szCs w:val="20"/>
        </w:rPr>
        <w:t xml:space="preserve">Any action by the User that poses an immediate security risk to the Service, other users, or Crucible Insight's infrastructure; or</w:t>
      </w:r>
    </w:p>
    <w:p>
      <w:pPr>
        <w:pStyle w:val="ListParagraph"/>
        <w:numPr>
          <w:ilvl w:val="0"/>
          <w:numId w:val="1"/>
        </w:numPr>
        <w:spacing w:after="60" w:before="60"/>
        <w:ind w:left="576" w:hanging="288"/>
      </w:pPr>
      <w:r>
        <w:rPr>
          <w:rFonts w:ascii="Calibri" w:cs="Calibri" w:eastAsia="Calibri" w:hAnsi="Calibri"/>
          <w:color w:val="000000"/>
          <w:sz w:val="20"/>
          <w:szCs w:val="20"/>
        </w:rPr>
        <w:t xml:space="preserve">Receipt of a valid legal order, subpoena, or regulatory directive requiring suspension of the account.</w:t>
      </w:r>
    </w:p>
    <w:p>
      <w:pPr>
        <w:pStyle w:val="Heading1"/>
        <w:spacing w:after="120" w:before="360"/>
      </w:pPr>
      <w:r>
        <w:rPr>
          <w:rFonts w:ascii="Calibri" w:cs="Calibri" w:eastAsia="Calibri" w:hAnsi="Calibri"/>
          <w:b/>
          <w:bCs/>
          <w:color w:val="1B2A4A"/>
          <w:sz w:val="28"/>
          <w:szCs w:val="28"/>
        </w:rPr>
        <w:t xml:space="preserve">H-2. NOTICE OF SUSPENSION</w:t>
      </w:r>
    </w:p>
    <w:p>
      <w:pPr>
        <w:spacing w:after="100" w:before="80"/>
        <w:jc w:val="both"/>
      </w:pPr>
      <w:r>
        <w:rPr>
          <w:rFonts w:ascii="Calibri" w:cs="Calibri" w:eastAsia="Calibri" w:hAnsi="Calibri"/>
          <w:b w:val="false"/>
          <w:bCs w:val="false"/>
          <w:i w:val="false"/>
          <w:iCs w:val="false"/>
          <w:caps w:val="false"/>
          <w:color w:val="000000"/>
          <w:sz w:val="20"/>
          <w:szCs w:val="20"/>
        </w:rPr>
        <w:t xml:space="preserve">Where circumstances permit, Crucible Insight will provide written notice of suspension to the User's registered email address concurrent with or within 24 hours of imposing a suspension. Notice will state the general basis for the suspension. Crucible Insight is not required to provide advance notice where immediate suspension is necessary to protect the security or integrity of the Service or other users.</w:t>
      </w:r>
    </w:p>
    <w:p>
      <w:pPr>
        <w:pStyle w:val="Heading1"/>
        <w:spacing w:after="120" w:before="360"/>
      </w:pPr>
      <w:r>
        <w:rPr>
          <w:rFonts w:ascii="Calibri" w:cs="Calibri" w:eastAsia="Calibri" w:hAnsi="Calibri"/>
          <w:b/>
          <w:bCs/>
          <w:color w:val="1B2A4A"/>
          <w:sz w:val="28"/>
          <w:szCs w:val="28"/>
        </w:rPr>
        <w:t xml:space="preserve">H-3. APPEALS PROCEDURE</w:t>
      </w:r>
    </w:p>
    <w:p>
      <w:pPr>
        <w:spacing w:after="100" w:before="80"/>
        <w:jc w:val="both"/>
      </w:pPr>
      <w:r>
        <w:rPr>
          <w:rFonts w:ascii="Calibri" w:cs="Calibri" w:eastAsia="Calibri" w:hAnsi="Calibri"/>
          <w:b w:val="false"/>
          <w:bCs w:val="false"/>
          <w:i w:val="false"/>
          <w:iCs w:val="false"/>
          <w:caps w:val="false"/>
          <w:color w:val="000000"/>
          <w:sz w:val="20"/>
          <w:szCs w:val="20"/>
        </w:rPr>
        <w:t xml:space="preserve">A suspended User may appeal the suspension by submitting a written dispute to Crucible Insight at the contact address published in the Terms within ten (10) business days of receiving the suspension notice. The dispute must identify the account, describe the basis for contesting the suspension, and include any supporting documentation. Crucible Insight will acknowledge receipt within three (3) business days and will issue a written determination within fifteen (15) business days of receiving the complete dispute submission. Crucible Insight's determination is final.</w:t>
      </w:r>
    </w:p>
    <w:p>
      <w:pPr>
        <w:pStyle w:val="Heading1"/>
        <w:spacing w:after="120" w:before="360"/>
      </w:pPr>
      <w:r>
        <w:rPr>
          <w:rFonts w:ascii="Calibri" w:cs="Calibri" w:eastAsia="Calibri" w:hAnsi="Calibri"/>
          <w:b/>
          <w:bCs/>
          <w:color w:val="1B2A4A"/>
          <w:sz w:val="28"/>
          <w:szCs w:val="28"/>
        </w:rPr>
        <w:t xml:space="preserve">H-4. EFFECT OF SUSPENSION</w:t>
      </w:r>
    </w:p>
    <w:p>
      <w:pPr>
        <w:spacing w:after="100" w:before="80"/>
        <w:jc w:val="both"/>
      </w:pPr>
      <w:r>
        <w:rPr>
          <w:rFonts w:ascii="Calibri" w:cs="Calibri" w:eastAsia="Calibri" w:hAnsi="Calibri"/>
          <w:b w:val="false"/>
          <w:bCs w:val="false"/>
          <w:i w:val="false"/>
          <w:iCs w:val="false"/>
          <w:caps w:val="false"/>
          <w:color w:val="000000"/>
          <w:sz w:val="20"/>
          <w:szCs w:val="20"/>
        </w:rPr>
        <w:t xml:space="preserve">During a suspension period: (a) the User may not access the Service or submit new content; (b) subscription fees continue to accrue on the billing cycle in effect unless Crucible Insight elects to terminate the subscription; and (c) User Content is preserved in accordance with the data retention terms in Section 5.3 of the Terms unless the suspension arises from a legal order requiring preservation or deletion.</w:t>
      </w:r>
    </w:p>
    <w:p>
      <w:pPr>
        <w:pStyle w:val="Heading1"/>
        <w:spacing w:after="120" w:before="360"/>
      </w:pPr>
      <w:r>
        <w:rPr>
          <w:rFonts w:ascii="Calibri" w:cs="Calibri" w:eastAsia="Calibri" w:hAnsi="Calibri"/>
          <w:b/>
          <w:bCs/>
          <w:color w:val="1B2A4A"/>
          <w:sz w:val="28"/>
          <w:szCs w:val="28"/>
        </w:rPr>
        <w:t xml:space="preserve">H-5. TERMINATION FOLLOWING SUSPENSION</w:t>
      </w:r>
    </w:p>
    <w:p>
      <w:pPr>
        <w:spacing w:after="100" w:before="80"/>
        <w:jc w:val="both"/>
      </w:pPr>
      <w:r>
        <w:rPr>
          <w:rFonts w:ascii="Calibri" w:cs="Calibri" w:eastAsia="Calibri" w:hAnsi="Calibri"/>
          <w:b w:val="false"/>
          <w:bCs w:val="false"/>
          <w:i w:val="false"/>
          <w:iCs w:val="false"/>
          <w:caps w:val="false"/>
          <w:color w:val="000000"/>
          <w:sz w:val="20"/>
          <w:szCs w:val="20"/>
        </w:rPr>
        <w:t xml:space="preserve">If a suspended User does not file a timely appeal, if an appeal is denied, or if the underlying violation is determined to constitute a material breach of the Terms, Crucible Insight may terminate the User's account permanently. Upon termination following suspension, no refund of prepaid subscription fees is owed. User Content will be deleted in accordance with Section 5.3 of the Terms.</w:t>
      </w:r>
    </w:p>
    <w:p>
      <w:pPr>
        <w:spacing w:before="160"/>
      </w:pPr>
    </w:p>
    <w:p>
      <w:pPr>
        <w:pBdr>
          <w:bottom w:val="single" w:color="B8960C" w:sz="6"/>
        </w:pBdr>
        <w:spacing w:after="200" w:before="200"/>
      </w:pPr>
    </w:p>
    <w:p>
      <w:r>
        <w:br w:type="page"/>
      </w:r>
    </w:p>
    <w:p>
      <w:pPr>
        <w:spacing w:after="80" w:before="0"/>
        <w:jc w:val="center"/>
      </w:pPr>
      <w:r>
        <w:rPr>
          <w:rFonts w:ascii="Calibri" w:cs="Calibri" w:eastAsia="Calibri" w:hAnsi="Calibri"/>
          <w:b/>
          <w:bCs/>
          <w:color w:val="1B2A4A"/>
          <w:sz w:val="26"/>
          <w:szCs w:val="26"/>
        </w:rPr>
        <w:t xml:space="preserve">EXHIBIT I</w:t>
      </w:r>
    </w:p>
    <w:p>
      <w:pPr>
        <w:spacing w:after="80" w:before="0"/>
        <w:jc w:val="center"/>
      </w:pPr>
      <w:r>
        <w:rPr>
          <w:rFonts w:ascii="Calibri" w:cs="Calibri" w:eastAsia="Calibri" w:hAnsi="Calibri"/>
          <w:b/>
          <w:bCs/>
          <w:color w:val="1B2A4A"/>
          <w:sz w:val="24"/>
          <w:szCs w:val="24"/>
        </w:rPr>
        <w:t xml:space="preserve">ACCESSIBILITY, MINOR USE PROHIBITION, AND INCIDENT RESPONSE</w:t>
      </w:r>
    </w:p>
    <w:p>
      <w:pPr>
        <w:spacing w:before="40"/>
      </w:pPr>
    </w:p>
    <w:p>
      <w:pPr>
        <w:pStyle w:val="Heading1"/>
        <w:spacing w:after="120" w:before="360"/>
      </w:pPr>
      <w:r>
        <w:rPr>
          <w:rFonts w:ascii="Calibri" w:cs="Calibri" w:eastAsia="Calibri" w:hAnsi="Calibri"/>
          <w:b/>
          <w:bCs/>
          <w:color w:val="1B2A4A"/>
          <w:sz w:val="28"/>
          <w:szCs w:val="28"/>
        </w:rPr>
        <w:t xml:space="preserve">I-1. SECTION 508 ACCESSIBILITY</w:t>
      </w:r>
    </w:p>
    <w:p>
      <w:pPr>
        <w:pStyle w:val="Heading2"/>
        <w:spacing w:after="80" w:before="240"/>
      </w:pPr>
      <w:r>
        <w:rPr>
          <w:rFonts w:ascii="Calibri" w:cs="Calibri" w:eastAsia="Calibri" w:hAnsi="Calibri"/>
          <w:b/>
          <w:bCs/>
          <w:color w:val="1B2A4A"/>
          <w:sz w:val="24"/>
          <w:szCs w:val="24"/>
        </w:rPr>
        <w:t xml:space="preserve">I-1.1 Compliance Statement</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designs and maintains the Service in conformance with Section 508 of the Rehabilitation Act of 1973 (29 U.S.C. § 794d), as amended, and the associated Revised 508 Standards (36 C.F.R. Part 1194). The Service is designed to be accessible to individuals with disabilities, including those who use assistive technologies.</w:t>
      </w:r>
    </w:p>
    <w:p>
      <w:pPr>
        <w:pStyle w:val="Heading2"/>
        <w:spacing w:after="80" w:before="240"/>
      </w:pPr>
      <w:r>
        <w:rPr>
          <w:rFonts w:ascii="Calibri" w:cs="Calibri" w:eastAsia="Calibri" w:hAnsi="Calibri"/>
          <w:b/>
          <w:bCs/>
          <w:color w:val="1B2A4A"/>
          <w:sz w:val="24"/>
          <w:szCs w:val="24"/>
        </w:rPr>
        <w:t xml:space="preserve">I-1.2 Voluntary Product Accessibility Template</w:t>
      </w:r>
    </w:p>
    <w:p>
      <w:pPr>
        <w:spacing w:after="100" w:before="80"/>
        <w:jc w:val="both"/>
      </w:pPr>
      <w:r>
        <w:rPr>
          <w:rFonts w:ascii="Calibri" w:cs="Calibri" w:eastAsia="Calibri" w:hAnsi="Calibri"/>
          <w:b w:val="false"/>
          <w:bCs w:val="false"/>
          <w:i w:val="false"/>
          <w:iCs w:val="false"/>
          <w:caps w:val="false"/>
          <w:color w:val="000000"/>
          <w:sz w:val="20"/>
          <w:szCs w:val="20"/>
        </w:rPr>
        <w:t xml:space="preserve">A Voluntary Product Accessibility Template (VPAT) or equivalent Accessibility Conformance Report (ACR) for the Service is available upon request. Users may request the current VPAT at the contact address published in the Terms.</w:t>
      </w:r>
    </w:p>
    <w:p>
      <w:pPr>
        <w:pStyle w:val="Heading2"/>
        <w:spacing w:after="80" w:before="240"/>
      </w:pPr>
      <w:r>
        <w:rPr>
          <w:rFonts w:ascii="Calibri" w:cs="Calibri" w:eastAsia="Calibri" w:hAnsi="Calibri"/>
          <w:b/>
          <w:bCs/>
          <w:color w:val="1B2A4A"/>
          <w:sz w:val="24"/>
          <w:szCs w:val="24"/>
        </w:rPr>
        <w:t xml:space="preserve">I-1.3 Accommodation Requests</w:t>
      </w:r>
    </w:p>
    <w:p>
      <w:pPr>
        <w:spacing w:after="100" w:before="80"/>
        <w:jc w:val="both"/>
      </w:pPr>
      <w:r>
        <w:rPr>
          <w:rFonts w:ascii="Calibri" w:cs="Calibri" w:eastAsia="Calibri" w:hAnsi="Calibri"/>
          <w:b w:val="false"/>
          <w:bCs w:val="false"/>
          <w:i w:val="false"/>
          <w:iCs w:val="false"/>
          <w:caps w:val="false"/>
          <w:color w:val="000000"/>
          <w:sz w:val="20"/>
          <w:szCs w:val="20"/>
        </w:rPr>
        <w:t xml:space="preserve">Users who encounter accessibility barriers or who require a specific accommodation to access the Service should contact Crucible Insight at the address published in the Terms. Crucible Insight will respond to accommodation requests within ten (10) business days and will use commercially reasonable efforts to provide an accessible alternative where a barrier is confirmed.</w:t>
      </w:r>
    </w:p>
    <w:p>
      <w:pPr>
        <w:pStyle w:val="Heading2"/>
        <w:spacing w:after="80" w:before="240"/>
      </w:pPr>
      <w:r>
        <w:rPr>
          <w:rFonts w:ascii="Calibri" w:cs="Calibri" w:eastAsia="Calibri" w:hAnsi="Calibri"/>
          <w:b/>
          <w:bCs/>
          <w:color w:val="1B2A4A"/>
          <w:sz w:val="24"/>
          <w:szCs w:val="24"/>
        </w:rPr>
        <w:t xml:space="preserve">I-1.4 Limitation</w:t>
      </w:r>
    </w:p>
    <w:p>
      <w:pPr>
        <w:spacing w:after="100" w:before="80"/>
        <w:jc w:val="both"/>
      </w:pPr>
      <w:r>
        <w:rPr>
          <w:rFonts w:ascii="Calibri" w:cs="Calibri" w:eastAsia="Calibri" w:hAnsi="Calibri"/>
          <w:b w:val="false"/>
          <w:bCs w:val="false"/>
          <w:i w:val="false"/>
          <w:iCs w:val="false"/>
          <w:caps w:val="false"/>
          <w:color w:val="000000"/>
          <w:sz w:val="20"/>
          <w:szCs w:val="20"/>
        </w:rPr>
        <w:t xml:space="preserve">Section 508 conformance is assessed against the version of the Service in production at the time of each accessibility audit. Features released between audit cycles may not yet have been assessed. Crucible Insight does not warrant that every feature of the Service satisfies every Section 508 requirement at all times.</w:t>
      </w:r>
    </w:p>
    <w:p>
      <w:pPr>
        <w:pStyle w:val="Heading1"/>
        <w:spacing w:after="120" w:before="360"/>
      </w:pPr>
      <w:r>
        <w:rPr>
          <w:rFonts w:ascii="Calibri" w:cs="Calibri" w:eastAsia="Calibri" w:hAnsi="Calibri"/>
          <w:b/>
          <w:bCs/>
          <w:color w:val="1B2A4A"/>
          <w:sz w:val="28"/>
          <w:szCs w:val="28"/>
        </w:rPr>
        <w:t xml:space="preserve">I-2. PROHIBITION ON USE BY MINORS</w:t>
      </w:r>
    </w:p>
    <w:p>
      <w:pPr>
        <w:pStyle w:val="Heading2"/>
        <w:spacing w:after="80" w:before="240"/>
      </w:pPr>
      <w:r>
        <w:rPr>
          <w:rFonts w:ascii="Calibri" w:cs="Calibri" w:eastAsia="Calibri" w:hAnsi="Calibri"/>
          <w:b/>
          <w:bCs/>
          <w:color w:val="1B2A4A"/>
          <w:sz w:val="24"/>
          <w:szCs w:val="24"/>
        </w:rPr>
        <w:t xml:space="preserve">I-2.1 Age Requirement</w:t>
      </w:r>
    </w:p>
    <w:p>
      <w:pPr>
        <w:spacing w:after="100" w:before="80"/>
        <w:jc w:val="both"/>
      </w:pPr>
      <w:r>
        <w:rPr>
          <w:rFonts w:ascii="Calibri" w:cs="Calibri" w:eastAsia="Calibri" w:hAnsi="Calibri"/>
          <w:b w:val="false"/>
          <w:bCs w:val="false"/>
          <w:i w:val="false"/>
          <w:iCs w:val="false"/>
          <w:caps w:val="false"/>
          <w:color w:val="000000"/>
          <w:sz w:val="20"/>
          <w:szCs w:val="20"/>
        </w:rPr>
        <w:t xml:space="preserve">The Service is intended solely for use by adults aged 18 years or older who are acting in a professional or business capacity. The Service is not directed at, and may not be used by, individuals under the age of 18.</w:t>
      </w:r>
    </w:p>
    <w:p>
      <w:pPr>
        <w:pStyle w:val="Heading2"/>
        <w:spacing w:after="80" w:before="240"/>
      </w:pPr>
      <w:r>
        <w:rPr>
          <w:rFonts w:ascii="Calibri" w:cs="Calibri" w:eastAsia="Calibri" w:hAnsi="Calibri"/>
          <w:b/>
          <w:bCs/>
          <w:color w:val="1B2A4A"/>
          <w:sz w:val="24"/>
          <w:szCs w:val="24"/>
        </w:rPr>
        <w:t xml:space="preserve">I-2.2 COPPA Compliance</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does not knowingly collect personal information from individuals under the age of 13 in accordance with the Children's Online Privacy Protection Act (COPPA), 15 U.S.C. § 6501 et seq. If Crucible Insight determines that personal information has been submitted by or collected from an individual under the age of 13, Crucible Insight will delete that information promptly. If a User becomes aware that a minor has accessed the Service using that User's account credentials, the User must notify Crucible Insight immediately and take steps to prevent further access.</w:t>
      </w:r>
    </w:p>
    <w:p>
      <w:pPr>
        <w:pStyle w:val="Heading2"/>
        <w:spacing w:after="80" w:before="240"/>
      </w:pPr>
      <w:r>
        <w:rPr>
          <w:rFonts w:ascii="Calibri" w:cs="Calibri" w:eastAsia="Calibri" w:hAnsi="Calibri"/>
          <w:b/>
          <w:bCs/>
          <w:color w:val="1B2A4A"/>
          <w:sz w:val="24"/>
          <w:szCs w:val="24"/>
        </w:rPr>
        <w:t xml:space="preserve">I-2.3 Corporate Account Responsibility</w:t>
      </w:r>
    </w:p>
    <w:p>
      <w:pPr>
        <w:spacing w:after="100" w:before="80"/>
        <w:jc w:val="both"/>
      </w:pPr>
      <w:r>
        <w:rPr>
          <w:rFonts w:ascii="Calibri" w:cs="Calibri" w:eastAsia="Calibri" w:hAnsi="Calibri"/>
          <w:b w:val="false"/>
          <w:bCs w:val="false"/>
          <w:i w:val="false"/>
          <w:iCs w:val="false"/>
          <w:caps w:val="false"/>
          <w:color w:val="000000"/>
          <w:sz w:val="20"/>
          <w:szCs w:val="20"/>
        </w:rPr>
        <w:t xml:space="preserve">Corporate account holders are responsible for ensuring that all individuals who access the Service under the corporate account are at least 18 years of age. The corporate account holder bears full liability for any access by a minor under its account.</w:t>
      </w:r>
    </w:p>
    <w:p>
      <w:pPr>
        <w:pStyle w:val="Heading1"/>
        <w:spacing w:after="120" w:before="360"/>
      </w:pPr>
      <w:r>
        <w:rPr>
          <w:rFonts w:ascii="Calibri" w:cs="Calibri" w:eastAsia="Calibri" w:hAnsi="Calibri"/>
          <w:b/>
          <w:bCs/>
          <w:color w:val="1B2A4A"/>
          <w:sz w:val="28"/>
          <w:szCs w:val="28"/>
        </w:rPr>
        <w:t xml:space="preserve">I-3. INCIDENT RESPONSE AND BREACH NOTIFICATION</w:t>
      </w:r>
    </w:p>
    <w:p>
      <w:pPr>
        <w:pStyle w:val="Heading2"/>
        <w:spacing w:after="80" w:before="240"/>
      </w:pPr>
      <w:r>
        <w:rPr>
          <w:rFonts w:ascii="Calibri" w:cs="Calibri" w:eastAsia="Calibri" w:hAnsi="Calibri"/>
          <w:b/>
          <w:bCs/>
          <w:color w:val="1B2A4A"/>
          <w:sz w:val="24"/>
          <w:szCs w:val="24"/>
        </w:rPr>
        <w:t xml:space="preserve">I-3.1 Scope</w:t>
      </w:r>
    </w:p>
    <w:p>
      <w:pPr>
        <w:spacing w:after="100" w:before="80"/>
        <w:jc w:val="both"/>
      </w:pPr>
      <w:r>
        <w:rPr>
          <w:rFonts w:ascii="Calibri" w:cs="Calibri" w:eastAsia="Calibri" w:hAnsi="Calibri"/>
          <w:b w:val="false"/>
          <w:bCs w:val="false"/>
          <w:i w:val="false"/>
          <w:iCs w:val="false"/>
          <w:caps w:val="false"/>
          <w:color w:val="000000"/>
          <w:sz w:val="20"/>
          <w:szCs w:val="20"/>
        </w:rPr>
        <w:t xml:space="preserve">This Section governs Crucible Insight's obligations with respect to security incidents affecting User Content or personal data processed by the Service. These obligations are in addition to, and do not replace, any incident reporting obligations that Users may have under applicable law, regulation, or contract.</w:t>
      </w:r>
    </w:p>
    <w:p>
      <w:pPr>
        <w:pStyle w:val="Heading2"/>
        <w:spacing w:after="80" w:before="240"/>
      </w:pPr>
      <w:r>
        <w:rPr>
          <w:rFonts w:ascii="Calibri" w:cs="Calibri" w:eastAsia="Calibri" w:hAnsi="Calibri"/>
          <w:b/>
          <w:bCs/>
          <w:color w:val="1B2A4A"/>
          <w:sz w:val="24"/>
          <w:szCs w:val="24"/>
        </w:rPr>
        <w:t xml:space="preserve">I-3.2 Internal Detection and Response</w:t>
      </w:r>
    </w:p>
    <w:p>
      <w:pPr>
        <w:spacing w:after="100" w:before="80"/>
        <w:jc w:val="both"/>
      </w:pPr>
      <w:r>
        <w:rPr>
          <w:rFonts w:ascii="Calibri" w:cs="Calibri" w:eastAsia="Calibri" w:hAnsi="Calibri"/>
          <w:b w:val="false"/>
          <w:bCs w:val="false"/>
          <w:i w:val="false"/>
          <w:iCs w:val="false"/>
          <w:caps w:val="false"/>
          <w:color w:val="000000"/>
          <w:sz w:val="20"/>
          <w:szCs w:val="20"/>
        </w:rPr>
        <w:t xml:space="preserve">Crucible Insight maintains an incident response program designed to detect, contain, and remediate security incidents affecting the Service. Upon detection of a confirmed security incident, Crucible Insight will initiate containment procedures, preserve relevant evidence, and assess the scope and nature of the incident.</w:t>
      </w:r>
    </w:p>
    <w:p>
      <w:pPr>
        <w:pStyle w:val="Heading2"/>
        <w:spacing w:after="80" w:before="240"/>
      </w:pPr>
      <w:r>
        <w:rPr>
          <w:rFonts w:ascii="Calibri" w:cs="Calibri" w:eastAsia="Calibri" w:hAnsi="Calibri"/>
          <w:b/>
          <w:bCs/>
          <w:color w:val="1B2A4A"/>
          <w:sz w:val="24"/>
          <w:szCs w:val="24"/>
        </w:rPr>
        <w:t xml:space="preserve">I-3.3 User Notification — Personal Data Incidents</w:t>
      </w:r>
    </w:p>
    <w:p>
      <w:pPr>
        <w:spacing w:after="100" w:before="80"/>
        <w:jc w:val="both"/>
      </w:pPr>
      <w:r>
        <w:rPr>
          <w:rFonts w:ascii="Calibri" w:cs="Calibri" w:eastAsia="Calibri" w:hAnsi="Calibri"/>
          <w:b w:val="false"/>
          <w:bCs w:val="false"/>
          <w:i w:val="false"/>
          <w:iCs w:val="false"/>
          <w:caps w:val="false"/>
          <w:color w:val="000000"/>
          <w:sz w:val="20"/>
          <w:szCs w:val="20"/>
        </w:rPr>
        <w:t xml:space="preserve">If Crucible Insight confirms a security incident that results in unauthorized access to, disclosure of, or destruction of personal data attributable to a specific User account, Crucible Insight will notify the affected User without undue delay and in any event within seventy-two (72) hours of confirming that personal data has been compromised. Notification will be provided to the registered account email address and will include: (a) a description of the nature of the incident to the extent known; (b) the categories of personal data involved; (c) the measures Crucible Insight has taken or proposes to take to address the incident; and (d) a point of contact for further information.</w:t>
      </w:r>
    </w:p>
    <w:p>
      <w:pPr>
        <w:pStyle w:val="Heading2"/>
        <w:spacing w:after="80" w:before="240"/>
      </w:pPr>
      <w:r>
        <w:rPr>
          <w:rFonts w:ascii="Calibri" w:cs="Calibri" w:eastAsia="Calibri" w:hAnsi="Calibri"/>
          <w:b/>
          <w:bCs/>
          <w:color w:val="1B2A4A"/>
          <w:sz w:val="24"/>
          <w:szCs w:val="24"/>
        </w:rPr>
        <w:t xml:space="preserve">I-3.4 User Notification — Non-CUI Content Incidents</w:t>
      </w:r>
    </w:p>
    <w:p>
      <w:pPr>
        <w:spacing w:after="100" w:before="80"/>
        <w:jc w:val="both"/>
      </w:pPr>
      <w:r>
        <w:rPr>
          <w:rFonts w:ascii="Calibri" w:cs="Calibri" w:eastAsia="Calibri" w:hAnsi="Calibri"/>
          <w:b w:val="false"/>
          <w:bCs w:val="false"/>
          <w:i w:val="false"/>
          <w:iCs w:val="false"/>
          <w:caps w:val="false"/>
          <w:color w:val="000000"/>
          <w:sz w:val="20"/>
          <w:szCs w:val="20"/>
        </w:rPr>
        <w:t xml:space="preserve">If a confirmed security incident results in unauthorized access to User Content that does not constitute personal data or CUI, Crucible Insight will notify affected Users within five (5) business days of confirming the scope of the incident. Crucible Insight is not obligated to provide individual notification for incidents affecting only aggregated, de-identified data.</w:t>
      </w:r>
    </w:p>
    <w:p>
      <w:pPr>
        <w:pStyle w:val="Heading2"/>
        <w:spacing w:after="80" w:before="240"/>
      </w:pPr>
      <w:r>
        <w:rPr>
          <w:rFonts w:ascii="Calibri" w:cs="Calibri" w:eastAsia="Calibri" w:hAnsi="Calibri"/>
          <w:b/>
          <w:bCs/>
          <w:color w:val="1B2A4A"/>
          <w:sz w:val="24"/>
          <w:szCs w:val="24"/>
        </w:rPr>
        <w:t xml:space="preserve">I-3.5 No CUI Incident Obligation</w:t>
      </w:r>
    </w:p>
    <w:p>
      <w:pPr>
        <w:spacing w:after="100" w:before="80"/>
        <w:jc w:val="both"/>
      </w:pPr>
      <w:r>
        <w:rPr>
          <w:rFonts w:ascii="Calibri" w:cs="Calibri" w:eastAsia="Calibri" w:hAnsi="Calibri"/>
          <w:b w:val="false"/>
          <w:bCs w:val="false"/>
          <w:i w:val="false"/>
          <w:iCs w:val="false"/>
          <w:caps w:val="false"/>
          <w:color w:val="000000"/>
          <w:sz w:val="20"/>
          <w:szCs w:val="20"/>
        </w:rPr>
        <w:t xml:space="preserve">Because the Service is expressly not a CUI enclave and Users are prohibited from submitting CUI to the Service, Crucible Insight bears no obligation to satisfy CUI-specific incident reporting timelines, including any eight-hour reporting requirement under proposed FAR 52.204-XX or any successor rule. Any obligation to report a CUI incident arising from User's violation of the CUI submission prohibition in Section 3 of the Terms rests solely with the User.</w:t>
      </w:r>
    </w:p>
    <w:p>
      <w:pPr>
        <w:pStyle w:val="Heading2"/>
        <w:spacing w:after="80" w:before="240"/>
      </w:pPr>
      <w:r>
        <w:rPr>
          <w:rFonts w:ascii="Calibri" w:cs="Calibri" w:eastAsia="Calibri" w:hAnsi="Calibri"/>
          <w:b/>
          <w:bCs/>
          <w:color w:val="1B2A4A"/>
          <w:sz w:val="24"/>
          <w:szCs w:val="24"/>
        </w:rPr>
        <w:t xml:space="preserve">I-3.6 User Cooperation</w:t>
      </w:r>
    </w:p>
    <w:p>
      <w:pPr>
        <w:spacing w:after="100" w:before="80"/>
        <w:jc w:val="both"/>
      </w:pPr>
      <w:r>
        <w:rPr>
          <w:rFonts w:ascii="Calibri" w:cs="Calibri" w:eastAsia="Calibri" w:hAnsi="Calibri"/>
          <w:b w:val="false"/>
          <w:bCs w:val="false"/>
          <w:i w:val="false"/>
          <w:iCs w:val="false"/>
          <w:caps w:val="false"/>
          <w:color w:val="000000"/>
          <w:sz w:val="20"/>
          <w:szCs w:val="20"/>
        </w:rPr>
        <w:t xml:space="preserve">Users agree to cooperate with Crucible Insight's incident response activities, including providing timely responses to information requests, refraining from public disclosure of incident details during the investigation period except as required by applicable law, and implementing reasonable security measures on the User's systems to prevent unauthorized access.</w:t>
      </w:r>
    </w:p>
    <w:p>
      <w:pPr>
        <w:pStyle w:val="Heading2"/>
        <w:spacing w:after="80" w:before="240"/>
      </w:pPr>
      <w:r>
        <w:rPr>
          <w:rFonts w:ascii="Calibri" w:cs="Calibri" w:eastAsia="Calibri" w:hAnsi="Calibri"/>
          <w:b/>
          <w:bCs/>
          <w:color w:val="1B2A4A"/>
          <w:sz w:val="24"/>
          <w:szCs w:val="24"/>
        </w:rPr>
        <w:t xml:space="preserve">I-3.7 Limitation of Liability</w:t>
      </w:r>
    </w:p>
    <w:p>
      <w:pPr>
        <w:spacing w:after="100" w:before="80"/>
        <w:jc w:val="both"/>
      </w:pPr>
      <w:r>
        <w:rPr>
          <w:rFonts w:ascii="Calibri" w:cs="Calibri" w:eastAsia="Calibri" w:hAnsi="Calibri"/>
          <w:b w:val="false"/>
          <w:bCs w:val="false"/>
          <w:i w:val="false"/>
          <w:iCs w:val="false"/>
          <w:caps w:val="false"/>
          <w:color w:val="000000"/>
          <w:sz w:val="20"/>
          <w:szCs w:val="20"/>
        </w:rPr>
        <w:t xml:space="preserve">The notification obligations in this Section do not expand Crucible Insight's liability beyond the caps set forth in Section 7 of the Terms. Crucible Insight's failure to provide notice within the timeframes in this Section, where such failure does not prejudice the User, shall not give rise to a claim for damages.</w:t>
      </w:r>
    </w:p>
    <w:p>
      <w:pPr>
        <w:spacing w:before="200"/>
      </w:pPr>
    </w:p>
    <w:p>
      <w:pPr>
        <w:pBdr>
          <w:bottom w:val="single" w:color="B8960C" w:sz="6"/>
        </w:pBdr>
        <w:spacing w:after="200" w:before="200"/>
      </w:pPr>
    </w:p>
    <w:p>
      <w:pPr>
        <w:spacing w:before="80"/>
      </w:pPr>
    </w:p>
    <w:p>
      <w:pPr>
        <w:spacing w:after="100" w:before="80"/>
        <w:jc w:val="both"/>
      </w:pPr>
      <w:r>
        <w:rPr>
          <w:rFonts w:ascii="Calibri" w:cs="Calibri" w:eastAsia="Calibri" w:hAnsi="Calibri"/>
          <w:b/>
          <w:bCs/>
          <w:i w:val="false"/>
          <w:iCs w:val="false"/>
          <w:caps w:val="false"/>
          <w:color w:val="000000"/>
          <w:sz w:val="20"/>
          <w:szCs w:val="20"/>
        </w:rPr>
        <w:t xml:space="preserve">END OF SUPPLEMENTAL POLICY ADDENDUM</w:t>
      </w:r>
    </w:p>
    <w:p>
      <w:pPr>
        <w:spacing w:after="60" w:before="0"/>
        <w:jc w:val="center"/>
      </w:pPr>
      <w:r>
        <w:rPr>
          <w:rFonts w:ascii="Calibri" w:cs="Calibri" w:eastAsia="Calibri" w:hAnsi="Calibri"/>
          <w:i/>
          <w:iCs/>
          <w:color w:val="4A4A4A"/>
          <w:sz w:val="18"/>
          <w:szCs w:val="18"/>
        </w:rPr>
        <w:t xml:space="preserve">DARA Supplemental Policy Addendum v1.0  |  The Daniel Group LLC d/b/a Crucible Insight  |  dara.crucibleinsight.com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6"/>
        <w:szCs w:val="16"/>
      </w:rPr>
      <w:t xml:space="preserve">DARA Supplemental Policy Addendum v1.0  |  The Daniel Group LLC d/b/a Crucible Insight  |  Confidential  |  Page </w:t>
    </w:r>
    <w:r>
      <w:rPr>
        <w:rFonts w:ascii="Calibri" w:cs="Calibri" w:eastAsia="Calibri" w:hAnsi="Calibri"/>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DARA Supplemental Policy Addendum</dc:title>
  <dc:creator>Crucible Insight</dc:creator>
  <dc:description>AUP, Billing, Export/Sanctions, SLA, Copyright/DMCA, Suspension, Accessibility, Minor Use, Incident Response</dc:description>
  <cp:lastModifiedBy>Un-named</cp:lastModifiedBy>
  <cp:revision>1</cp:revision>
  <dcterms:created xsi:type="dcterms:W3CDTF">2026-07-06T09:41:14.000Z</dcterms:created>
  <dcterms:modified xsi:type="dcterms:W3CDTF">2026-07-06T09:41:14.012Z</dcterms:modified>
</cp:coreProperties>
</file>

<file path=docProps/custom.xml><?xml version="1.0" encoding="utf-8"?>
<Properties xmlns="http://schemas.openxmlformats.org/officeDocument/2006/custom-properties" xmlns:vt="http://schemas.openxmlformats.org/officeDocument/2006/docPropsVTypes"/>
</file>