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2022-04-24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Jeffery calculated all financial ratios, and conducted horizontal and common size analysis for both the balance sheet and income statement for both ARB and BAP.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2022-05-05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Nathan created the assignment folder and wrote useful files to begin this assignment.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2022-05-07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Nathan edited the spreadsheet for easier navigation and reading. Tables each have their own sheet, and the same table for ARB and BAP have the same structure for easy comparison.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2022-05-08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Nathan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