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278F5" w14:textId="77777777" w:rsidR="00317A47" w:rsidRDefault="00317A47" w:rsidP="00D21639">
      <w:pPr>
        <w:pStyle w:val="paragraph"/>
        <w:spacing w:before="0" w:beforeAutospacing="0" w:after="0" w:afterAutospacing="0"/>
        <w:jc w:val="center"/>
        <w:textAlignment w:val="baseline"/>
        <w:rPr>
          <w:rStyle w:val="normaltextrun"/>
          <w:rFonts w:asciiTheme="minorHAnsi" w:eastAsiaTheme="majorEastAsia" w:hAnsiTheme="minorHAnsi" w:cstheme="minorHAnsi"/>
          <w:b/>
          <w:bCs/>
          <w:color w:val="000000" w:themeColor="text1"/>
          <w:sz w:val="52"/>
          <w:szCs w:val="52"/>
        </w:rPr>
      </w:pPr>
    </w:p>
    <w:p w14:paraId="21015FFA" w14:textId="77777777" w:rsidR="00317A47" w:rsidRDefault="00317A47" w:rsidP="00D21639">
      <w:pPr>
        <w:pStyle w:val="paragraph"/>
        <w:spacing w:before="0" w:beforeAutospacing="0" w:after="0" w:afterAutospacing="0"/>
        <w:jc w:val="center"/>
        <w:textAlignment w:val="baseline"/>
        <w:rPr>
          <w:rStyle w:val="normaltextrun"/>
          <w:rFonts w:asciiTheme="minorHAnsi" w:eastAsiaTheme="majorEastAsia" w:hAnsiTheme="minorHAnsi" w:cstheme="minorHAnsi"/>
          <w:b/>
          <w:bCs/>
          <w:color w:val="000000" w:themeColor="text1"/>
          <w:sz w:val="52"/>
          <w:szCs w:val="52"/>
        </w:rPr>
      </w:pPr>
    </w:p>
    <w:p w14:paraId="1E2B449E" w14:textId="65C711C3" w:rsidR="00D21639" w:rsidRPr="00D21639" w:rsidRDefault="00D21639" w:rsidP="00D21639">
      <w:pPr>
        <w:pStyle w:val="paragraph"/>
        <w:spacing w:before="0" w:beforeAutospacing="0" w:after="0" w:afterAutospacing="0"/>
        <w:jc w:val="center"/>
        <w:textAlignment w:val="baseline"/>
        <w:rPr>
          <w:rFonts w:asciiTheme="minorHAnsi" w:hAnsiTheme="minorHAnsi" w:cstheme="minorHAnsi"/>
          <w:b/>
          <w:bCs/>
          <w:color w:val="000000" w:themeColor="text1"/>
          <w:sz w:val="52"/>
          <w:szCs w:val="52"/>
        </w:rPr>
      </w:pPr>
      <w:r w:rsidRPr="00D21639">
        <w:rPr>
          <w:rStyle w:val="normaltextrun"/>
          <w:rFonts w:asciiTheme="minorHAnsi" w:eastAsiaTheme="majorEastAsia" w:hAnsiTheme="minorHAnsi" w:cstheme="minorHAnsi"/>
          <w:b/>
          <w:bCs/>
          <w:color w:val="000000" w:themeColor="text1"/>
          <w:sz w:val="52"/>
          <w:szCs w:val="52"/>
        </w:rPr>
        <w:t>Western Governors University (WGU)</w:t>
      </w:r>
    </w:p>
    <w:p w14:paraId="7CF42F8C" w14:textId="77777777" w:rsidR="00D21639" w:rsidRPr="00D21639" w:rsidRDefault="00D21639" w:rsidP="00D21639">
      <w:pPr>
        <w:pStyle w:val="paragraph"/>
        <w:spacing w:before="0" w:beforeAutospacing="0" w:after="0" w:afterAutospacing="0"/>
        <w:jc w:val="center"/>
        <w:textAlignment w:val="baseline"/>
        <w:rPr>
          <w:rFonts w:asciiTheme="minorHAnsi" w:hAnsiTheme="minorHAnsi" w:cstheme="minorHAnsi"/>
          <w:b/>
          <w:bCs/>
          <w:color w:val="000000" w:themeColor="text1"/>
          <w:sz w:val="36"/>
          <w:szCs w:val="36"/>
        </w:rPr>
      </w:pPr>
    </w:p>
    <w:p w14:paraId="3ED0F902" w14:textId="77777777" w:rsidR="00D21639" w:rsidRPr="00D21639" w:rsidRDefault="00D21639" w:rsidP="00D21639">
      <w:pPr>
        <w:pStyle w:val="paragraph"/>
        <w:spacing w:before="0" w:beforeAutospacing="0" w:after="0" w:afterAutospacing="0"/>
        <w:jc w:val="center"/>
        <w:textAlignment w:val="baseline"/>
        <w:rPr>
          <w:rStyle w:val="eop"/>
          <w:rFonts w:asciiTheme="minorHAnsi" w:eastAsiaTheme="majorEastAsia" w:hAnsiTheme="minorHAnsi" w:cstheme="minorHAnsi"/>
          <w:b/>
          <w:bCs/>
          <w:color w:val="000000" w:themeColor="text1"/>
          <w:sz w:val="36"/>
          <w:szCs w:val="36"/>
        </w:rPr>
      </w:pPr>
    </w:p>
    <w:p w14:paraId="71ED91F9" w14:textId="77777777" w:rsidR="00D21639" w:rsidRPr="00D21639" w:rsidRDefault="00D21639" w:rsidP="00D21639">
      <w:pPr>
        <w:pStyle w:val="paragraph"/>
        <w:spacing w:before="0" w:beforeAutospacing="0" w:after="0" w:afterAutospacing="0"/>
        <w:jc w:val="center"/>
        <w:textAlignment w:val="baseline"/>
        <w:rPr>
          <w:rStyle w:val="eop"/>
          <w:rFonts w:asciiTheme="minorHAnsi" w:eastAsiaTheme="majorEastAsia" w:hAnsiTheme="minorHAnsi" w:cstheme="minorHAnsi"/>
          <w:b/>
          <w:bCs/>
          <w:color w:val="000000" w:themeColor="text1"/>
          <w:sz w:val="36"/>
          <w:szCs w:val="36"/>
        </w:rPr>
      </w:pPr>
    </w:p>
    <w:p w14:paraId="4205EBE7" w14:textId="77777777" w:rsidR="00D21639" w:rsidRPr="00D21639" w:rsidRDefault="00D21639" w:rsidP="00D21639">
      <w:pPr>
        <w:pStyle w:val="paragraph"/>
        <w:spacing w:before="0" w:beforeAutospacing="0" w:after="0" w:afterAutospacing="0"/>
        <w:jc w:val="center"/>
        <w:textAlignment w:val="baseline"/>
        <w:rPr>
          <w:rStyle w:val="eop"/>
          <w:rFonts w:asciiTheme="minorHAnsi" w:eastAsiaTheme="majorEastAsia" w:hAnsiTheme="minorHAnsi" w:cstheme="minorHAnsi"/>
          <w:b/>
          <w:bCs/>
          <w:color w:val="000000" w:themeColor="text1"/>
          <w:sz w:val="36"/>
          <w:szCs w:val="36"/>
        </w:rPr>
      </w:pPr>
    </w:p>
    <w:p w14:paraId="7837CCDD" w14:textId="77777777" w:rsidR="00D21639" w:rsidRPr="00D21639" w:rsidRDefault="00D21639" w:rsidP="00D21639">
      <w:pPr>
        <w:pStyle w:val="paragraph"/>
        <w:spacing w:before="0" w:beforeAutospacing="0" w:after="0" w:afterAutospacing="0"/>
        <w:jc w:val="center"/>
        <w:textAlignment w:val="baseline"/>
        <w:rPr>
          <w:rStyle w:val="normaltextrun"/>
          <w:rFonts w:asciiTheme="minorHAnsi" w:eastAsiaTheme="majorEastAsia" w:hAnsiTheme="minorHAnsi" w:cstheme="minorHAnsi"/>
          <w:b/>
          <w:bCs/>
          <w:color w:val="000000" w:themeColor="text1"/>
          <w:sz w:val="40"/>
          <w:szCs w:val="40"/>
        </w:rPr>
      </w:pPr>
    </w:p>
    <w:p w14:paraId="0FBB3339" w14:textId="77777777" w:rsidR="00D21639" w:rsidRPr="00D21639" w:rsidRDefault="00D21639" w:rsidP="00D21639">
      <w:pPr>
        <w:pStyle w:val="paragraph"/>
        <w:spacing w:before="0" w:beforeAutospacing="0" w:after="0" w:afterAutospacing="0"/>
        <w:jc w:val="center"/>
        <w:textAlignment w:val="baseline"/>
        <w:rPr>
          <w:rStyle w:val="normaltextrun"/>
          <w:rFonts w:asciiTheme="minorHAnsi" w:eastAsiaTheme="majorEastAsia" w:hAnsiTheme="minorHAnsi" w:cstheme="minorHAnsi"/>
          <w:b/>
          <w:bCs/>
          <w:color w:val="000000" w:themeColor="text1"/>
          <w:sz w:val="40"/>
          <w:szCs w:val="40"/>
        </w:rPr>
      </w:pPr>
    </w:p>
    <w:p w14:paraId="1BA8CBC7" w14:textId="77777777" w:rsidR="00D21639" w:rsidRPr="00D21639" w:rsidRDefault="00D21639" w:rsidP="00D21639">
      <w:pPr>
        <w:pStyle w:val="paragraph"/>
        <w:spacing w:before="0" w:beforeAutospacing="0" w:after="0" w:afterAutospacing="0"/>
        <w:jc w:val="center"/>
        <w:textAlignment w:val="baseline"/>
        <w:rPr>
          <w:rStyle w:val="normaltextrun"/>
          <w:rFonts w:asciiTheme="minorHAnsi" w:eastAsiaTheme="majorEastAsia" w:hAnsiTheme="minorHAnsi" w:cstheme="minorHAnsi"/>
          <w:b/>
          <w:bCs/>
          <w:color w:val="000000" w:themeColor="text1"/>
          <w:sz w:val="40"/>
          <w:szCs w:val="40"/>
        </w:rPr>
      </w:pPr>
    </w:p>
    <w:p w14:paraId="359E625E" w14:textId="77777777" w:rsidR="00D21639" w:rsidRPr="00D21639" w:rsidRDefault="00D21639" w:rsidP="00D21639">
      <w:pPr>
        <w:pStyle w:val="paragraph"/>
        <w:spacing w:before="0" w:beforeAutospacing="0" w:after="0" w:afterAutospacing="0"/>
        <w:jc w:val="center"/>
        <w:textAlignment w:val="baseline"/>
        <w:rPr>
          <w:rStyle w:val="normaltextrun"/>
          <w:rFonts w:asciiTheme="minorHAnsi" w:eastAsiaTheme="majorEastAsia" w:hAnsiTheme="minorHAnsi" w:cstheme="minorHAnsi"/>
          <w:b/>
          <w:bCs/>
          <w:color w:val="000000" w:themeColor="text1"/>
          <w:sz w:val="40"/>
          <w:szCs w:val="40"/>
        </w:rPr>
      </w:pPr>
    </w:p>
    <w:p w14:paraId="4B7762B9" w14:textId="77777777" w:rsidR="002A2EB9" w:rsidRDefault="002A2EB9" w:rsidP="00D21639">
      <w:pPr>
        <w:pStyle w:val="paragraph"/>
        <w:spacing w:before="0" w:beforeAutospacing="0" w:after="0" w:afterAutospacing="0"/>
        <w:jc w:val="center"/>
        <w:textAlignment w:val="baseline"/>
        <w:rPr>
          <w:rStyle w:val="normaltextrun"/>
          <w:rFonts w:asciiTheme="minorHAnsi" w:eastAsiaTheme="majorEastAsia" w:hAnsiTheme="minorHAnsi" w:cstheme="minorHAnsi"/>
          <w:b/>
          <w:bCs/>
          <w:color w:val="000000" w:themeColor="text1"/>
          <w:sz w:val="40"/>
          <w:szCs w:val="40"/>
        </w:rPr>
      </w:pPr>
    </w:p>
    <w:p w14:paraId="18307828" w14:textId="0326F826" w:rsidR="00D21639" w:rsidRPr="00D21639" w:rsidRDefault="00D21639" w:rsidP="00D21639">
      <w:pPr>
        <w:pStyle w:val="paragraph"/>
        <w:spacing w:before="0" w:beforeAutospacing="0" w:after="0" w:afterAutospacing="0"/>
        <w:jc w:val="center"/>
        <w:textAlignment w:val="baseline"/>
        <w:rPr>
          <w:rFonts w:asciiTheme="minorHAnsi" w:eastAsiaTheme="majorEastAsia" w:hAnsiTheme="minorHAnsi" w:cstheme="minorHAnsi"/>
          <w:b/>
          <w:bCs/>
          <w:color w:val="000000" w:themeColor="text1"/>
          <w:sz w:val="40"/>
          <w:szCs w:val="40"/>
        </w:rPr>
      </w:pPr>
      <w:r w:rsidRPr="00D21639">
        <w:rPr>
          <w:rStyle w:val="normaltextrun"/>
          <w:rFonts w:asciiTheme="minorHAnsi" w:eastAsiaTheme="majorEastAsia" w:hAnsiTheme="minorHAnsi" w:cstheme="minorHAnsi"/>
          <w:b/>
          <w:bCs/>
          <w:color w:val="000000" w:themeColor="text1"/>
          <w:sz w:val="40"/>
          <w:szCs w:val="40"/>
        </w:rPr>
        <w:t>D2</w:t>
      </w:r>
      <w:r w:rsidRPr="00D21639">
        <w:rPr>
          <w:rStyle w:val="normaltextrun"/>
          <w:rFonts w:asciiTheme="minorHAnsi" w:eastAsiaTheme="majorEastAsia" w:hAnsiTheme="minorHAnsi" w:cstheme="minorHAnsi"/>
          <w:b/>
          <w:bCs/>
          <w:color w:val="000000" w:themeColor="text1"/>
          <w:sz w:val="40"/>
          <w:szCs w:val="40"/>
        </w:rPr>
        <w:t>10</w:t>
      </w:r>
      <w:r w:rsidRPr="00D21639">
        <w:rPr>
          <w:rFonts w:asciiTheme="minorHAnsi" w:hAnsiTheme="minorHAnsi" w:cstheme="minorHAnsi"/>
          <w:b/>
          <w:bCs/>
          <w:color w:val="000000" w:themeColor="text1"/>
          <w:sz w:val="40"/>
          <w:szCs w:val="40"/>
        </w:rPr>
        <w:t xml:space="preserve">: </w:t>
      </w:r>
      <w:r w:rsidRPr="00D21639">
        <w:rPr>
          <w:rFonts w:asciiTheme="minorHAnsi" w:hAnsiTheme="minorHAnsi" w:cstheme="minorHAnsi"/>
          <w:b/>
          <w:bCs/>
          <w:color w:val="000000" w:themeColor="text1"/>
          <w:sz w:val="40"/>
          <w:szCs w:val="40"/>
        </w:rPr>
        <w:t>Representation and Reporting</w:t>
      </w:r>
    </w:p>
    <w:p w14:paraId="167E5F5D" w14:textId="77777777" w:rsidR="00D21639" w:rsidRPr="00D21639" w:rsidRDefault="00D21639" w:rsidP="00D21639">
      <w:pPr>
        <w:pStyle w:val="paragraph"/>
        <w:spacing w:before="0" w:beforeAutospacing="0" w:after="0" w:afterAutospacing="0"/>
        <w:jc w:val="center"/>
        <w:textAlignment w:val="baseline"/>
        <w:rPr>
          <w:rFonts w:asciiTheme="minorHAnsi" w:hAnsiTheme="minorHAnsi" w:cstheme="minorHAnsi"/>
          <w:b/>
          <w:bCs/>
          <w:color w:val="000000" w:themeColor="text1"/>
          <w:sz w:val="36"/>
          <w:szCs w:val="36"/>
        </w:rPr>
      </w:pPr>
    </w:p>
    <w:p w14:paraId="091D3B8B" w14:textId="77777777" w:rsidR="00D21639" w:rsidRPr="00D21639" w:rsidRDefault="00D21639" w:rsidP="00D21639">
      <w:pPr>
        <w:pStyle w:val="paragraph"/>
        <w:spacing w:before="0" w:beforeAutospacing="0" w:after="0" w:afterAutospacing="0"/>
        <w:jc w:val="center"/>
        <w:textAlignment w:val="baseline"/>
        <w:rPr>
          <w:rFonts w:asciiTheme="minorHAnsi" w:eastAsiaTheme="majorEastAsia" w:hAnsiTheme="minorHAnsi" w:cstheme="minorHAnsi"/>
          <w:b/>
          <w:bCs/>
          <w:color w:val="000000" w:themeColor="text1"/>
          <w:sz w:val="36"/>
          <w:szCs w:val="36"/>
        </w:rPr>
      </w:pPr>
    </w:p>
    <w:p w14:paraId="170D2170" w14:textId="77777777" w:rsidR="002A2EB9" w:rsidRDefault="002A2EB9" w:rsidP="00D21639">
      <w:pPr>
        <w:pStyle w:val="paragraph"/>
        <w:spacing w:before="0" w:beforeAutospacing="0" w:after="0" w:afterAutospacing="0"/>
        <w:jc w:val="center"/>
        <w:textAlignment w:val="baseline"/>
        <w:rPr>
          <w:rStyle w:val="normaltextrun"/>
          <w:rFonts w:asciiTheme="minorHAnsi" w:eastAsiaTheme="majorEastAsia" w:hAnsiTheme="minorHAnsi" w:cstheme="minorHAnsi"/>
          <w:b/>
          <w:bCs/>
          <w:color w:val="000000" w:themeColor="text1"/>
          <w:sz w:val="36"/>
          <w:szCs w:val="36"/>
        </w:rPr>
      </w:pPr>
    </w:p>
    <w:p w14:paraId="41301729" w14:textId="77777777" w:rsidR="002A2EB9" w:rsidRDefault="002A2EB9" w:rsidP="00D21639">
      <w:pPr>
        <w:pStyle w:val="paragraph"/>
        <w:spacing w:before="0" w:beforeAutospacing="0" w:after="0" w:afterAutospacing="0"/>
        <w:jc w:val="center"/>
        <w:textAlignment w:val="baseline"/>
        <w:rPr>
          <w:rStyle w:val="normaltextrun"/>
          <w:rFonts w:asciiTheme="minorHAnsi" w:eastAsiaTheme="majorEastAsia" w:hAnsiTheme="minorHAnsi" w:cstheme="minorHAnsi"/>
          <w:b/>
          <w:bCs/>
          <w:color w:val="000000" w:themeColor="text1"/>
          <w:sz w:val="36"/>
          <w:szCs w:val="36"/>
        </w:rPr>
      </w:pPr>
    </w:p>
    <w:p w14:paraId="41820549" w14:textId="6CF5504A" w:rsidR="00D21639" w:rsidRPr="00D21639" w:rsidRDefault="00D21639" w:rsidP="00D21639">
      <w:pPr>
        <w:pStyle w:val="paragraph"/>
        <w:spacing w:before="0" w:beforeAutospacing="0" w:after="0" w:afterAutospacing="0"/>
        <w:jc w:val="center"/>
        <w:textAlignment w:val="baseline"/>
        <w:rPr>
          <w:rFonts w:asciiTheme="minorHAnsi" w:hAnsiTheme="minorHAnsi" w:cstheme="minorHAnsi"/>
          <w:b/>
          <w:bCs/>
          <w:color w:val="000000" w:themeColor="text1"/>
          <w:sz w:val="36"/>
          <w:szCs w:val="36"/>
        </w:rPr>
      </w:pPr>
      <w:r w:rsidRPr="00D21639">
        <w:rPr>
          <w:rStyle w:val="normaltextrun"/>
          <w:rFonts w:asciiTheme="minorHAnsi" w:eastAsiaTheme="majorEastAsia" w:hAnsiTheme="minorHAnsi" w:cstheme="minorHAnsi"/>
          <w:b/>
          <w:bCs/>
          <w:color w:val="000000" w:themeColor="text1"/>
          <w:sz w:val="36"/>
          <w:szCs w:val="36"/>
        </w:rPr>
        <w:t>Natallia Zimnitskaya | ID: 012247127</w:t>
      </w:r>
    </w:p>
    <w:p w14:paraId="3411876E" w14:textId="77777777" w:rsidR="00D21639" w:rsidRPr="00D21639" w:rsidRDefault="00D21639" w:rsidP="00D21639">
      <w:pPr>
        <w:pStyle w:val="paragraph"/>
        <w:spacing w:before="0" w:beforeAutospacing="0" w:after="0" w:afterAutospacing="0"/>
        <w:jc w:val="center"/>
        <w:textAlignment w:val="baseline"/>
        <w:rPr>
          <w:rFonts w:asciiTheme="minorHAnsi" w:hAnsiTheme="minorHAnsi" w:cstheme="minorHAnsi"/>
          <w:b/>
          <w:bCs/>
          <w:color w:val="000000" w:themeColor="text1"/>
          <w:sz w:val="36"/>
          <w:szCs w:val="36"/>
        </w:rPr>
      </w:pPr>
      <w:r w:rsidRPr="00D21639">
        <w:rPr>
          <w:rStyle w:val="normaltextrun"/>
          <w:rFonts w:asciiTheme="minorHAnsi" w:eastAsiaTheme="majorEastAsia" w:hAnsiTheme="minorHAnsi" w:cstheme="minorHAnsi"/>
          <w:b/>
          <w:bCs/>
          <w:color w:val="000000" w:themeColor="text1"/>
          <w:sz w:val="36"/>
          <w:szCs w:val="36"/>
        </w:rPr>
        <w:t>Master of Science, Data Analytics</w:t>
      </w:r>
    </w:p>
    <w:p w14:paraId="4A771039" w14:textId="4D4F0753" w:rsidR="00D21639" w:rsidRPr="00D21639" w:rsidRDefault="00D21639" w:rsidP="00D21639">
      <w:pPr>
        <w:jc w:val="center"/>
        <w:rPr>
          <w:rFonts w:cstheme="minorHAnsi"/>
          <w:b/>
          <w:bCs/>
          <w:sz w:val="40"/>
          <w:szCs w:val="40"/>
        </w:rPr>
      </w:pPr>
    </w:p>
    <w:p w14:paraId="5EAE07D7" w14:textId="77777777" w:rsidR="00D21FD6" w:rsidRDefault="00D21FD6"/>
    <w:p w14:paraId="3772DFA3" w14:textId="77777777" w:rsidR="00D21FD6" w:rsidRDefault="00D21FD6"/>
    <w:p w14:paraId="39148B77" w14:textId="77777777" w:rsidR="00D21FD6" w:rsidRDefault="00D21FD6"/>
    <w:p w14:paraId="3370BFE7" w14:textId="77777777" w:rsidR="00D21FD6" w:rsidRDefault="00D21FD6"/>
    <w:p w14:paraId="26F76908" w14:textId="77777777" w:rsidR="00D21FD6" w:rsidRDefault="00D21FD6"/>
    <w:p w14:paraId="1AEF53CA" w14:textId="77777777" w:rsidR="00D21FD6" w:rsidRDefault="00D21FD6"/>
    <w:p w14:paraId="1E028A02" w14:textId="77777777" w:rsidR="00D21FD6" w:rsidRDefault="00D21FD6"/>
    <w:p w14:paraId="4AA81700" w14:textId="5A00BC2A" w:rsidR="00D21FD6" w:rsidRDefault="00CA4473">
      <w:pPr>
        <w:rPr>
          <w:b/>
          <w:bCs/>
        </w:rPr>
      </w:pPr>
      <w:r w:rsidRPr="00CA4473">
        <w:rPr>
          <w:b/>
          <w:bCs/>
        </w:rPr>
        <w:lastRenderedPageBreak/>
        <w:t>Part 1: Interactive Data Dashboar</w:t>
      </w:r>
      <w:r>
        <w:rPr>
          <w:b/>
          <w:bCs/>
        </w:rPr>
        <w:t>d</w:t>
      </w:r>
    </w:p>
    <w:p w14:paraId="34BC8B31" w14:textId="3AD036D5" w:rsidR="002912A2" w:rsidRDefault="002912A2">
      <w:r w:rsidRPr="002A2EB9">
        <w:rPr>
          <w:b/>
          <w:bCs/>
        </w:rPr>
        <w:t>A1.</w:t>
      </w:r>
      <w:r>
        <w:t xml:space="preserve"> The dashboard with my data analysis can </w:t>
      </w:r>
      <w:r w:rsidR="00E47174">
        <w:t xml:space="preserve">be found </w:t>
      </w:r>
      <w:r w:rsidR="00533605">
        <w:t xml:space="preserve">at </w:t>
      </w:r>
      <w:hyperlink r:id="rId5" w:history="1">
        <w:r w:rsidR="00533605" w:rsidRPr="00533605">
          <w:rPr>
            <w:rStyle w:val="Hyperlink"/>
          </w:rPr>
          <w:t>https://public.tableau.com/views/RepresentationandReporting_17297992839080/KPI?:language=en-US&amp;:sid=&amp;:redirect=auth&amp;:display_count=n&amp;:origin=viz_share_link</w:t>
        </w:r>
      </w:hyperlink>
    </w:p>
    <w:p w14:paraId="6629C76C" w14:textId="77777777" w:rsidR="002A2EB9" w:rsidRDefault="002A2EB9">
      <w:pPr>
        <w:rPr>
          <w:b/>
          <w:bCs/>
        </w:rPr>
      </w:pPr>
    </w:p>
    <w:p w14:paraId="530CF539" w14:textId="464F2ACD" w:rsidR="002912A2" w:rsidRDefault="002912A2">
      <w:r w:rsidRPr="002A2EB9">
        <w:rPr>
          <w:b/>
          <w:bCs/>
        </w:rPr>
        <w:t>A2.</w:t>
      </w:r>
      <w:r>
        <w:t xml:space="preserve"> </w:t>
      </w:r>
      <w:r w:rsidR="00C16ECB">
        <w:t>The internal dataset</w:t>
      </w:r>
      <w:r w:rsidRPr="002912A2">
        <w:t xml:space="preserve"> </w:t>
      </w:r>
      <w:r>
        <w:t>“</w:t>
      </w:r>
      <w:r w:rsidRPr="002912A2">
        <w:t>medical</w:t>
      </w:r>
      <w:r>
        <w:t>_clean.csv”</w:t>
      </w:r>
      <w:r w:rsidRPr="002912A2">
        <w:t xml:space="preserve"> </w:t>
      </w:r>
      <w:r>
        <w:t xml:space="preserve">was </w:t>
      </w:r>
      <w:r w:rsidRPr="002912A2">
        <w:t>provided by WGU</w:t>
      </w:r>
      <w:r w:rsidR="00C16ECB">
        <w:t>, and I used this dataset for the D208 and D209 performance assessments</w:t>
      </w:r>
      <w:r w:rsidRPr="002912A2">
        <w:t>.</w:t>
      </w:r>
      <w:r w:rsidR="005A0C6C">
        <w:t xml:space="preserve"> Please see the attached “medical_clean.cvs” file.</w:t>
      </w:r>
      <w:r w:rsidR="00F66ED6">
        <w:t xml:space="preserve"> </w:t>
      </w:r>
    </w:p>
    <w:p w14:paraId="71FCE9C2" w14:textId="77777777" w:rsidR="002D3D69" w:rsidRDefault="00C16ECB">
      <w:r>
        <w:t xml:space="preserve">The external dataset </w:t>
      </w:r>
      <w:bookmarkStart w:id="0" w:name="_Hlk180485436"/>
      <w:r>
        <w:t>“</w:t>
      </w:r>
      <w:r w:rsidRPr="00C16ECB">
        <w:t>National Health and Nutrition Examination Survey</w:t>
      </w:r>
      <w:r>
        <w:t xml:space="preserve"> 2013-2014” </w:t>
      </w:r>
      <w:bookmarkEnd w:id="0"/>
      <w:r>
        <w:t xml:space="preserve">provided by the </w:t>
      </w:r>
      <w:r w:rsidRPr="00C16ECB">
        <w:t>Centers for Disease Control and Prevention</w:t>
      </w:r>
      <w:r>
        <w:t xml:space="preserve"> was found on Kaggle </w:t>
      </w:r>
      <w:hyperlink r:id="rId6" w:history="1">
        <w:r w:rsidRPr="0047697D">
          <w:rPr>
            <w:rStyle w:val="Hyperlink"/>
          </w:rPr>
          <w:t>https://www.kaggle.com/datasets/cdc/national-health-and-nutrition-examination-survey</w:t>
        </w:r>
      </w:hyperlink>
      <w:r>
        <w:t xml:space="preserve">. </w:t>
      </w:r>
    </w:p>
    <w:p w14:paraId="1CFF744D" w14:textId="51C9A2B1" w:rsidR="00F66ED6" w:rsidRDefault="00F66ED6">
      <w:r>
        <w:t>From the “medical_clean.csv” file, I kept columns related to the assessment: Age, Gender, Diabetes, Hyperlipidemia, HighBlood, Overweight, and Stroke.</w:t>
      </w:r>
    </w:p>
    <w:p w14:paraId="3A7D5468" w14:textId="70B321F0" w:rsidR="007A110D" w:rsidRPr="007A110D" w:rsidRDefault="00F66ED6" w:rsidP="007A110D">
      <w:r>
        <w:t xml:space="preserve">The external </w:t>
      </w:r>
      <w:r w:rsidR="000C0DB9" w:rsidRPr="000C0DB9">
        <w:t xml:space="preserve">“National Health and Nutrition Examination Survey 2013-2014” </w:t>
      </w:r>
      <w:r>
        <w:t xml:space="preserve">file contains five datasets: Demographic dataset, Examination dataset, </w:t>
      </w:r>
      <w:r w:rsidRPr="00F66ED6">
        <w:t>Dietary data - total nutrient intake</w:t>
      </w:r>
      <w:r>
        <w:t xml:space="preserve"> dataset</w:t>
      </w:r>
      <w:r w:rsidRPr="00F66ED6">
        <w:t>, Laboratory dataset</w:t>
      </w:r>
      <w:r>
        <w:t xml:space="preserve">, </w:t>
      </w:r>
      <w:r w:rsidRPr="00F66ED6">
        <w:t>Questionnaire dataset</w:t>
      </w:r>
      <w:r>
        <w:t xml:space="preserve">, and </w:t>
      </w:r>
      <w:r w:rsidRPr="00F66ED6">
        <w:t>Medication dataset</w:t>
      </w:r>
      <w:r>
        <w:t>. I got Age and Gender</w:t>
      </w:r>
      <w:r w:rsidR="007A110D">
        <w:t xml:space="preserve"> from the </w:t>
      </w:r>
      <w:r w:rsidR="000C0DB9">
        <w:t>“</w:t>
      </w:r>
      <w:r w:rsidR="007A110D">
        <w:t>demographic</w:t>
      </w:r>
      <w:r w:rsidR="000C0DB9">
        <w:t>.csv”</w:t>
      </w:r>
      <w:r w:rsidR="007A110D">
        <w:t xml:space="preserve"> dataset and medical conditions from the </w:t>
      </w:r>
      <w:r w:rsidR="000C0DB9">
        <w:t>“</w:t>
      </w:r>
      <w:r w:rsidR="007A110D">
        <w:t>questionnaire</w:t>
      </w:r>
      <w:r w:rsidR="000C0DB9">
        <w:t>.csv”</w:t>
      </w:r>
      <w:r w:rsidR="007A110D">
        <w:t xml:space="preserve">. I used the Demographic Variable List and Questionnaire Variable List provided by the CDC </w:t>
      </w:r>
      <w:r w:rsidR="007A110D" w:rsidRPr="007A110D">
        <w:t>(</w:t>
      </w:r>
      <w:r w:rsidR="007A110D" w:rsidRPr="007A110D">
        <w:rPr>
          <w:i/>
          <w:iCs/>
        </w:rPr>
        <w:t>NHANES 2013-2014 Demographics Variable List</w:t>
      </w:r>
      <w:r w:rsidR="007A110D" w:rsidRPr="007A110D">
        <w:t xml:space="preserve">, n.d.; </w:t>
      </w:r>
      <w:r w:rsidR="007A110D" w:rsidRPr="007A110D">
        <w:rPr>
          <w:i/>
          <w:iCs/>
        </w:rPr>
        <w:t>NHANES 2013-2014 Questionnaire Variable List</w:t>
      </w:r>
      <w:r w:rsidR="007A110D" w:rsidRPr="007A110D">
        <w:t>, n.d.)</w:t>
      </w:r>
      <w:r w:rsidR="007A110D">
        <w:t>.</w:t>
      </w:r>
    </w:p>
    <w:p w14:paraId="593D477C" w14:textId="0C6810E0" w:rsidR="007A110D" w:rsidRPr="007A110D" w:rsidRDefault="007A110D" w:rsidP="007A110D"/>
    <w:p w14:paraId="6E75508D" w14:textId="7A0311B9" w:rsidR="00533605" w:rsidRDefault="004B507E">
      <w:r w:rsidRPr="002A2EB9">
        <w:rPr>
          <w:b/>
          <w:bCs/>
        </w:rPr>
        <w:t>A3.</w:t>
      </w:r>
      <w:r>
        <w:t xml:space="preserve"> </w:t>
      </w:r>
      <w:r w:rsidR="001D2AFE">
        <w:t>There is no need for any installation. The dashboard can be easily accessed by following this link</w:t>
      </w:r>
      <w:r w:rsidR="009256ED">
        <w:t>:</w:t>
      </w:r>
      <w:r w:rsidR="00D21639">
        <w:t xml:space="preserve"> </w:t>
      </w:r>
      <w:hyperlink r:id="rId7" w:history="1">
        <w:r w:rsidR="00533605" w:rsidRPr="00533605">
          <w:rPr>
            <w:rStyle w:val="Hyperlink"/>
          </w:rPr>
          <w:t>https://public.tableau.com/views/RepresentationandReporting_17297992839080/KPI?:language=en-US&amp;:sid=&amp;:redirect=auth&amp;:display_count=n&amp;:origin=viz_share_link</w:t>
        </w:r>
      </w:hyperlink>
    </w:p>
    <w:p w14:paraId="0EBFCC85" w14:textId="77777777" w:rsidR="001D2AFE" w:rsidRDefault="001D2AFE"/>
    <w:p w14:paraId="3B359673" w14:textId="76017EA5" w:rsidR="00673DF0" w:rsidRPr="002A2EB9" w:rsidRDefault="001D2AFE">
      <w:pPr>
        <w:rPr>
          <w:b/>
          <w:bCs/>
        </w:rPr>
      </w:pPr>
      <w:r w:rsidRPr="002A2EB9">
        <w:rPr>
          <w:b/>
          <w:bCs/>
        </w:rPr>
        <w:t>A4.</w:t>
      </w:r>
      <w:r w:rsidR="00673DF0" w:rsidRPr="002A2EB9">
        <w:rPr>
          <w:b/>
          <w:bCs/>
        </w:rPr>
        <w:t xml:space="preserve"> </w:t>
      </w:r>
      <w:r w:rsidR="009256ED" w:rsidRPr="002A2EB9">
        <w:rPr>
          <w:b/>
          <w:bCs/>
        </w:rPr>
        <w:t>Dashboard navigation</w:t>
      </w:r>
      <w:r w:rsidR="00214B1A" w:rsidRPr="002A2EB9">
        <w:rPr>
          <w:b/>
          <w:bCs/>
        </w:rPr>
        <w:t>.</w:t>
      </w:r>
    </w:p>
    <w:p w14:paraId="6CEC86FF" w14:textId="77777777" w:rsidR="00455880" w:rsidRDefault="00455880"/>
    <w:p w14:paraId="29624B61" w14:textId="7DF3F4E0" w:rsidR="00214B1A" w:rsidRDefault="00214B1A" w:rsidP="00455880">
      <w:pPr>
        <w:jc w:val="center"/>
      </w:pPr>
      <w:r w:rsidRPr="00214B1A">
        <w:t>Dashboard </w:t>
      </w:r>
      <w:bookmarkStart w:id="1" w:name="_Hlk180598012"/>
      <w:r>
        <w:t>“</w:t>
      </w:r>
      <w:r w:rsidR="0020135E">
        <w:t xml:space="preserve">Exploring </w:t>
      </w:r>
      <w:r w:rsidRPr="00214B1A">
        <w:t>Patient Demographics and </w:t>
      </w:r>
      <w:r w:rsidR="0020135E">
        <w:t xml:space="preserve">Health </w:t>
      </w:r>
      <w:r w:rsidRPr="00214B1A">
        <w:t>Conditions</w:t>
      </w:r>
      <w:r>
        <w:t>”</w:t>
      </w:r>
      <w:bookmarkEnd w:id="1"/>
    </w:p>
    <w:p w14:paraId="70B78A18" w14:textId="6856CAE2" w:rsidR="002D539E" w:rsidRPr="00214B1A" w:rsidRDefault="002D539E" w:rsidP="00214B1A">
      <w:r w:rsidRPr="00407519">
        <w:drawing>
          <wp:inline distT="0" distB="0" distL="0" distR="0" wp14:anchorId="64B2215B" wp14:editId="441FCC60">
            <wp:extent cx="5943600" cy="1833245"/>
            <wp:effectExtent l="0" t="0" r="0" b="0"/>
            <wp:docPr id="195955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55530" name=""/>
                    <pic:cNvPicPr/>
                  </pic:nvPicPr>
                  <pic:blipFill>
                    <a:blip r:embed="rId8"/>
                    <a:stretch>
                      <a:fillRect/>
                    </a:stretch>
                  </pic:blipFill>
                  <pic:spPr>
                    <a:xfrm>
                      <a:off x="0" y="0"/>
                      <a:ext cx="5943600" cy="1833245"/>
                    </a:xfrm>
                    <a:prstGeom prst="rect">
                      <a:avLst/>
                    </a:prstGeom>
                  </pic:spPr>
                </pic:pic>
              </a:graphicData>
            </a:graphic>
          </wp:inline>
        </w:drawing>
      </w:r>
    </w:p>
    <w:p w14:paraId="3AF2A23A" w14:textId="43FEAC7A" w:rsidR="00214B1A" w:rsidRPr="00214B1A" w:rsidRDefault="00214B1A" w:rsidP="00087B08">
      <w:pPr>
        <w:ind w:left="720"/>
      </w:pPr>
      <w:r w:rsidRPr="00214B1A">
        <w:t>Bar Chart </w:t>
      </w:r>
      <w:r>
        <w:t>“</w:t>
      </w:r>
      <w:r w:rsidRPr="00214B1A">
        <w:t>Number of Patients by 2-Year Age Intervals</w:t>
      </w:r>
      <w:r>
        <w:t>”</w:t>
      </w:r>
      <w:r w:rsidRPr="00214B1A">
        <w:t>:</w:t>
      </w:r>
    </w:p>
    <w:p w14:paraId="09466AAF" w14:textId="3533B278" w:rsidR="00214B1A" w:rsidRPr="00214B1A" w:rsidRDefault="00214B1A" w:rsidP="00087B08">
      <w:pPr>
        <w:pStyle w:val="ListParagraph"/>
        <w:numPr>
          <w:ilvl w:val="0"/>
          <w:numId w:val="12"/>
        </w:numPr>
      </w:pPr>
      <w:r w:rsidRPr="00214B1A">
        <w:lastRenderedPageBreak/>
        <w:t>Use the "Age Interval" filter to focus on specific age ranges.</w:t>
      </w:r>
    </w:p>
    <w:p w14:paraId="6D77665B" w14:textId="77777777" w:rsidR="00214B1A" w:rsidRPr="00214B1A" w:rsidRDefault="00214B1A" w:rsidP="00087B08">
      <w:pPr>
        <w:pStyle w:val="ListParagraph"/>
        <w:numPr>
          <w:ilvl w:val="0"/>
          <w:numId w:val="12"/>
        </w:numPr>
      </w:pPr>
      <w:r w:rsidRPr="00214B1A">
        <w:t>Apply the "Source" filter to compare data from WGU and CDC.</w:t>
      </w:r>
    </w:p>
    <w:p w14:paraId="189EA666" w14:textId="0AB705B5" w:rsidR="00214B1A" w:rsidRPr="00214B1A" w:rsidRDefault="00214B1A" w:rsidP="00087B08">
      <w:pPr>
        <w:pStyle w:val="ListParagraph"/>
        <w:numPr>
          <w:ilvl w:val="0"/>
          <w:numId w:val="12"/>
        </w:numPr>
      </w:pPr>
      <w:r w:rsidRPr="00214B1A">
        <w:t>Adjust the "Gender" filter to see how age distribution varies between males</w:t>
      </w:r>
      <w:r>
        <w:t xml:space="preserve">, </w:t>
      </w:r>
      <w:r w:rsidRPr="00214B1A">
        <w:t>females</w:t>
      </w:r>
      <w:r>
        <w:t>, and non-binary.</w:t>
      </w:r>
    </w:p>
    <w:p w14:paraId="19625BEB" w14:textId="50F95F7B" w:rsidR="00214B1A" w:rsidRDefault="00214B1A" w:rsidP="00087B08">
      <w:pPr>
        <w:pStyle w:val="ListParagraph"/>
        <w:numPr>
          <w:ilvl w:val="0"/>
          <w:numId w:val="12"/>
        </w:numPr>
      </w:pPr>
      <w:r w:rsidRPr="00214B1A">
        <w:t>Use the "Diabetes" filter to analyze the </w:t>
      </w:r>
      <w:r>
        <w:t>n</w:t>
      </w:r>
      <w:r w:rsidRPr="00214B1A">
        <w:t>umber of diabetic vs. non-diabetic patients in each age interval.</w:t>
      </w:r>
    </w:p>
    <w:p w14:paraId="372200DB" w14:textId="77777777" w:rsidR="00455880" w:rsidRPr="00214B1A" w:rsidRDefault="00455880" w:rsidP="00455880">
      <w:pPr>
        <w:pStyle w:val="ListParagraph"/>
        <w:ind w:left="1800"/>
      </w:pPr>
    </w:p>
    <w:p w14:paraId="6D6CF712" w14:textId="4D4143C6" w:rsidR="00214B1A" w:rsidRPr="00214B1A" w:rsidRDefault="00214B1A" w:rsidP="00087B08">
      <w:pPr>
        <w:ind w:left="720"/>
      </w:pPr>
      <w:r w:rsidRPr="00214B1A">
        <w:t>Pie Chart </w:t>
      </w:r>
      <w:r>
        <w:t>“</w:t>
      </w:r>
      <w:r w:rsidRPr="00214B1A">
        <w:t>Patient</w:t>
      </w:r>
      <w:r>
        <w:t xml:space="preserve"> Gender”</w:t>
      </w:r>
      <w:r w:rsidRPr="00214B1A">
        <w:t>:</w:t>
      </w:r>
    </w:p>
    <w:p w14:paraId="084F704B" w14:textId="77777777" w:rsidR="00214B1A" w:rsidRPr="00214B1A" w:rsidRDefault="00214B1A" w:rsidP="00087B08">
      <w:pPr>
        <w:pStyle w:val="ListParagraph"/>
        <w:numPr>
          <w:ilvl w:val="0"/>
          <w:numId w:val="13"/>
        </w:numPr>
        <w:jc w:val="both"/>
      </w:pPr>
      <w:r w:rsidRPr="00214B1A">
        <w:t>Utilize the "Source" filter to differentiate the gender distribution between WGU and CDC datasets.</w:t>
      </w:r>
    </w:p>
    <w:p w14:paraId="6A939F5F" w14:textId="41F45E46" w:rsidR="00214B1A" w:rsidRDefault="00214B1A" w:rsidP="00087B08">
      <w:pPr>
        <w:pStyle w:val="ListParagraph"/>
        <w:numPr>
          <w:ilvl w:val="0"/>
          <w:numId w:val="13"/>
        </w:numPr>
        <w:jc w:val="both"/>
      </w:pPr>
      <w:r w:rsidRPr="00214B1A">
        <w:t>Combine with the "Age Interval" filter for </w:t>
      </w:r>
      <w:r w:rsidR="002A2EB9">
        <w:t>gender-specific</w:t>
      </w:r>
      <w:r w:rsidRPr="00214B1A">
        <w:t> insights in particular age groups.</w:t>
      </w:r>
    </w:p>
    <w:p w14:paraId="23D8CFF9" w14:textId="77777777" w:rsidR="00455880" w:rsidRDefault="00455880" w:rsidP="00455880">
      <w:pPr>
        <w:pStyle w:val="ListParagraph"/>
        <w:ind w:left="1800"/>
        <w:jc w:val="both"/>
      </w:pPr>
    </w:p>
    <w:p w14:paraId="340F8ED0" w14:textId="77777777" w:rsidR="00087B08" w:rsidRDefault="00087B08" w:rsidP="00087B08">
      <w:pPr>
        <w:pStyle w:val="ListParagraph"/>
      </w:pPr>
    </w:p>
    <w:p w14:paraId="59F49E2F" w14:textId="5E95CE13" w:rsidR="00087B08" w:rsidRDefault="00214B1A" w:rsidP="00087B08">
      <w:pPr>
        <w:pStyle w:val="ListParagraph"/>
        <w:rPr>
          <w:rFonts w:ascii="Arial" w:eastAsia="Times New Roman" w:hAnsi="Arial" w:cs="Arial"/>
          <w:color w:val="282523"/>
          <w:kern w:val="0"/>
          <w:sz w:val="26"/>
          <w:szCs w:val="26"/>
          <w:bdr w:val="single" w:sz="2" w:space="0" w:color="auto" w:frame="1"/>
          <w14:ligatures w14:val="none"/>
        </w:rPr>
      </w:pPr>
      <w:r>
        <w:t>Area</w:t>
      </w:r>
      <w:r w:rsidRPr="00214B1A">
        <w:t> Chart </w:t>
      </w:r>
      <w:r>
        <w:t>“</w:t>
      </w:r>
      <w:r w:rsidRPr="00214B1A">
        <w:t>Diabetic vs. Non-Diabetic Patients by 2-Year Age</w:t>
      </w:r>
      <w:r>
        <w:t xml:space="preserve"> Intervals”</w:t>
      </w:r>
      <w:r w:rsidRPr="00214B1A">
        <w:t>:</w:t>
      </w:r>
      <w:r w:rsidRPr="00214B1A">
        <w:rPr>
          <w:rFonts w:ascii="Arial" w:eastAsia="Times New Roman" w:hAnsi="Arial" w:cs="Arial"/>
          <w:color w:val="282523"/>
          <w:kern w:val="0"/>
          <w:sz w:val="26"/>
          <w:szCs w:val="26"/>
          <w:bdr w:val="single" w:sz="2" w:space="0" w:color="auto" w:frame="1"/>
          <w14:ligatures w14:val="none"/>
        </w:rPr>
        <w:t xml:space="preserve"> </w:t>
      </w:r>
    </w:p>
    <w:p w14:paraId="03B24542" w14:textId="40236C17" w:rsidR="00087B08" w:rsidRDefault="00087B08" w:rsidP="00087B08">
      <w:pPr>
        <w:pStyle w:val="ListParagraph"/>
        <w:rPr>
          <w:rFonts w:ascii="Arial" w:eastAsia="Times New Roman" w:hAnsi="Arial" w:cs="Arial"/>
          <w:color w:val="282523"/>
          <w:kern w:val="0"/>
          <w:sz w:val="26"/>
          <w:szCs w:val="26"/>
          <w:bdr w:val="single" w:sz="2" w:space="0" w:color="auto" w:frame="1"/>
          <w14:ligatures w14:val="none"/>
        </w:rPr>
      </w:pPr>
    </w:p>
    <w:p w14:paraId="337380C6" w14:textId="681B846C" w:rsidR="00214B1A" w:rsidRDefault="00214B1A" w:rsidP="00087B08">
      <w:pPr>
        <w:pStyle w:val="ListParagraph"/>
        <w:numPr>
          <w:ilvl w:val="3"/>
          <w:numId w:val="15"/>
        </w:numPr>
      </w:pPr>
      <w:r w:rsidRPr="00214B1A">
        <w:t>Manipulate the "Diabetes" filter to compare trends across diabetic and non-diabetic patients.</w:t>
      </w:r>
    </w:p>
    <w:p w14:paraId="69EE0E56" w14:textId="02EED41F" w:rsidR="00214B1A" w:rsidRPr="00214B1A" w:rsidRDefault="00214B1A" w:rsidP="00087B08">
      <w:pPr>
        <w:pStyle w:val="ListParagraph"/>
        <w:numPr>
          <w:ilvl w:val="3"/>
          <w:numId w:val="15"/>
        </w:numPr>
      </w:pPr>
      <w:r w:rsidRPr="00214B1A">
        <w:t>Explore how these trends differ with age using the "Age Interval" filter.</w:t>
      </w:r>
    </w:p>
    <w:p w14:paraId="6CA8DE3E" w14:textId="26772D65" w:rsidR="00214B1A" w:rsidRDefault="00214B1A" w:rsidP="00087B08">
      <w:pPr>
        <w:pStyle w:val="ListParagraph"/>
        <w:numPr>
          <w:ilvl w:val="3"/>
          <w:numId w:val="15"/>
        </w:numPr>
      </w:pPr>
      <w:r w:rsidRPr="00214B1A">
        <w:t>Adjust the "Gender" and "Source" filters to uncover additional patterns.</w:t>
      </w:r>
    </w:p>
    <w:p w14:paraId="4E04B132" w14:textId="77777777" w:rsidR="00087B08" w:rsidRDefault="00087B08" w:rsidP="00087B08"/>
    <w:p w14:paraId="620F0132" w14:textId="2D5DF8D9" w:rsidR="00087B08" w:rsidRDefault="00087B08" w:rsidP="001E1F04">
      <w:pPr>
        <w:jc w:val="center"/>
      </w:pPr>
      <w:r w:rsidRPr="00087B08">
        <w:t>Dashboard </w:t>
      </w:r>
      <w:r>
        <w:t>“</w:t>
      </w:r>
      <w:r w:rsidRPr="00087B08">
        <w:t>Focused Health Condition Analysis</w:t>
      </w:r>
      <w:r>
        <w:t>”</w:t>
      </w:r>
    </w:p>
    <w:p w14:paraId="3D8E1CB7" w14:textId="636494EF" w:rsidR="002D539E" w:rsidRDefault="002D539E" w:rsidP="00087B08">
      <w:r w:rsidRPr="003C3501">
        <w:drawing>
          <wp:inline distT="0" distB="0" distL="0" distR="0" wp14:anchorId="24B2745C" wp14:editId="631D58B0">
            <wp:extent cx="5943600" cy="1823085"/>
            <wp:effectExtent l="0" t="0" r="0" b="5715"/>
            <wp:docPr id="860667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667939" name=""/>
                    <pic:cNvPicPr/>
                  </pic:nvPicPr>
                  <pic:blipFill>
                    <a:blip r:embed="rId9"/>
                    <a:stretch>
                      <a:fillRect/>
                    </a:stretch>
                  </pic:blipFill>
                  <pic:spPr>
                    <a:xfrm>
                      <a:off x="0" y="0"/>
                      <a:ext cx="5943600" cy="1823085"/>
                    </a:xfrm>
                    <a:prstGeom prst="rect">
                      <a:avLst/>
                    </a:prstGeom>
                  </pic:spPr>
                </pic:pic>
              </a:graphicData>
            </a:graphic>
          </wp:inline>
        </w:drawing>
      </w:r>
    </w:p>
    <w:p w14:paraId="00CB930D" w14:textId="77777777" w:rsidR="002D539E" w:rsidRPr="00087B08" w:rsidRDefault="002D539E" w:rsidP="00087B08"/>
    <w:p w14:paraId="74ADBC45" w14:textId="07AEC5D9" w:rsidR="00087B08" w:rsidRPr="00087B08" w:rsidRDefault="00087B08" w:rsidP="00455880">
      <w:pPr>
        <w:ind w:left="720"/>
      </w:pPr>
      <w:r w:rsidRPr="00087B08">
        <w:t>Highlight</w:t>
      </w:r>
      <w:r w:rsidR="002D539E">
        <w:t>ed</w:t>
      </w:r>
      <w:r w:rsidRPr="00087B08">
        <w:t> Table</w:t>
      </w:r>
      <w:r w:rsidR="002D539E">
        <w:t>s “</w:t>
      </w:r>
      <w:r w:rsidR="002D539E" w:rsidRPr="002D539E">
        <w:t>Number of Hypertensive Patients by 5-year Age Intervals</w:t>
      </w:r>
      <w:r w:rsidR="002D539E">
        <w:t>” and “</w:t>
      </w:r>
      <w:r w:rsidR="002D539E" w:rsidRPr="002D539E">
        <w:t>Number of Overweight Patients by 5-year Age Intervals</w:t>
      </w:r>
      <w:r w:rsidR="002D539E">
        <w:t>”</w:t>
      </w:r>
      <w:r w:rsidR="001E1F04">
        <w:t>:</w:t>
      </w:r>
    </w:p>
    <w:p w14:paraId="0A468722" w14:textId="5F6C6832" w:rsidR="00087B08" w:rsidRPr="00087B08" w:rsidRDefault="00087B08" w:rsidP="00455880">
      <w:pPr>
        <w:pStyle w:val="ListParagraph"/>
        <w:numPr>
          <w:ilvl w:val="0"/>
          <w:numId w:val="17"/>
        </w:numPr>
      </w:pPr>
      <w:r w:rsidRPr="00087B08">
        <w:t>"Source" compare</w:t>
      </w:r>
      <w:r w:rsidR="0020135E">
        <w:t>s</w:t>
      </w:r>
      <w:r w:rsidRPr="00087B08">
        <w:t> data between WGU and CDC or </w:t>
      </w:r>
      <w:r w:rsidR="0020135E">
        <w:t>sees</w:t>
      </w:r>
      <w:r w:rsidRPr="00087B08">
        <w:t> combined results.</w:t>
      </w:r>
    </w:p>
    <w:p w14:paraId="4EBAD028" w14:textId="2ABE0037" w:rsidR="00087B08" w:rsidRPr="00087B08" w:rsidRDefault="00087B08" w:rsidP="00455880">
      <w:pPr>
        <w:pStyle w:val="ListParagraph"/>
        <w:numPr>
          <w:ilvl w:val="0"/>
          <w:numId w:val="17"/>
        </w:numPr>
      </w:pPr>
      <w:r w:rsidRPr="00087B08">
        <w:t>Leverage the "Age Intervals" and "Gender" filters to gain </w:t>
      </w:r>
      <w:r>
        <w:t xml:space="preserve">a </w:t>
      </w:r>
      <w:r w:rsidRPr="00087B08">
        <w:t>deeper understanding.</w:t>
      </w:r>
    </w:p>
    <w:p w14:paraId="6FD08032" w14:textId="3F1F2417" w:rsidR="00087B08" w:rsidRPr="00087B08" w:rsidRDefault="002D539E" w:rsidP="00455880">
      <w:pPr>
        <w:ind w:left="720"/>
      </w:pPr>
      <w:r>
        <w:t xml:space="preserve">   </w:t>
      </w:r>
      <w:r w:rsidR="00087B08" w:rsidRPr="00087B08">
        <w:t>KPIs:</w:t>
      </w:r>
    </w:p>
    <w:p w14:paraId="2CD2ED0F" w14:textId="77777777" w:rsidR="00087B08" w:rsidRDefault="00087B08" w:rsidP="00455880">
      <w:pPr>
        <w:pStyle w:val="ListParagraph"/>
        <w:numPr>
          <w:ilvl w:val="0"/>
          <w:numId w:val="18"/>
        </w:numPr>
      </w:pPr>
      <w:r w:rsidRPr="00087B08">
        <w:lastRenderedPageBreak/>
        <w:t>Examine the total number of hypertensive and overweight patients.</w:t>
      </w:r>
    </w:p>
    <w:p w14:paraId="51EC146D" w14:textId="3828BBEE" w:rsidR="00087B08" w:rsidRPr="00087B08" w:rsidRDefault="00087B08" w:rsidP="00455880">
      <w:pPr>
        <w:pStyle w:val="ListParagraph"/>
        <w:numPr>
          <w:ilvl w:val="0"/>
          <w:numId w:val="18"/>
        </w:numPr>
      </w:pPr>
      <w:r>
        <w:t>Examine the proportion of the population dealing with hypertension or overweight issues.</w:t>
      </w:r>
    </w:p>
    <w:p w14:paraId="32DD2BB2" w14:textId="77777777" w:rsidR="00087B08" w:rsidRPr="00087B08" w:rsidRDefault="00087B08" w:rsidP="00455880">
      <w:pPr>
        <w:pStyle w:val="ListParagraph"/>
        <w:numPr>
          <w:ilvl w:val="0"/>
          <w:numId w:val="18"/>
        </w:numPr>
      </w:pPr>
      <w:r w:rsidRPr="00087B08">
        <w:t>Adjust filters to view metrics for specific sources, age groups, or genders.</w:t>
      </w:r>
    </w:p>
    <w:p w14:paraId="56891771" w14:textId="18940E21" w:rsidR="003C3501" w:rsidRDefault="00087B08" w:rsidP="00455880">
      <w:pPr>
        <w:pStyle w:val="ListParagraph"/>
        <w:numPr>
          <w:ilvl w:val="0"/>
          <w:numId w:val="18"/>
        </w:numPr>
      </w:pPr>
      <w:r w:rsidRPr="00087B08">
        <w:t>Use these KPIs to quickly grasp key health statistics and compare them across</w:t>
      </w:r>
      <w:r>
        <w:t xml:space="preserve"> </w:t>
      </w:r>
      <w:r w:rsidRPr="00087B08">
        <w:t>patient s</w:t>
      </w:r>
      <w:r>
        <w:t>e</w:t>
      </w:r>
      <w:r w:rsidRPr="00087B08">
        <w:t>gments.</w:t>
      </w:r>
    </w:p>
    <w:p w14:paraId="6F040A76" w14:textId="2F1FA33C" w:rsidR="00673DF0" w:rsidRDefault="00673DF0"/>
    <w:p w14:paraId="1AF84658" w14:textId="2D5C4813" w:rsidR="00CA4473" w:rsidRPr="002A2EB9" w:rsidRDefault="002A2EB9">
      <w:pPr>
        <w:rPr>
          <w:b/>
          <w:bCs/>
        </w:rPr>
      </w:pPr>
      <w:r w:rsidRPr="002A2EB9">
        <w:rPr>
          <w:b/>
          <w:bCs/>
        </w:rPr>
        <w:t>Part 2: Storytelling with Data</w:t>
      </w:r>
    </w:p>
    <w:p w14:paraId="04C19697" w14:textId="1362AA86" w:rsidR="00AA5407" w:rsidRDefault="006F3A4B">
      <w:r w:rsidRPr="002A2EB9">
        <w:rPr>
          <w:b/>
          <w:bCs/>
        </w:rPr>
        <w:t>B.</w:t>
      </w:r>
      <w:r w:rsidR="00EB492E">
        <w:t xml:space="preserve"> Link to Panopto presentation</w:t>
      </w:r>
      <w:r w:rsidR="0058763A">
        <w:t xml:space="preserve"> </w:t>
      </w:r>
      <w:hyperlink r:id="rId10" w:history="1">
        <w:r w:rsidR="0058763A" w:rsidRPr="0058763A">
          <w:rPr>
            <w:rStyle w:val="Hyperlink"/>
          </w:rPr>
          <w:t>https://wgu.hosted.panopto.com/Panopto/Pages/Viewer.aspx?id=efb5ff30-7cdf-47af-b897-b21401779926</w:t>
        </w:r>
      </w:hyperlink>
    </w:p>
    <w:p w14:paraId="271A5ECA" w14:textId="77777777" w:rsidR="00B64B37" w:rsidRDefault="00B64B37"/>
    <w:p w14:paraId="39BB5E73" w14:textId="2EBAF605" w:rsidR="00B64B37" w:rsidRPr="002A2EB9" w:rsidRDefault="002A2EB9">
      <w:pPr>
        <w:rPr>
          <w:b/>
          <w:bCs/>
        </w:rPr>
      </w:pPr>
      <w:r w:rsidRPr="002A2EB9">
        <w:rPr>
          <w:b/>
          <w:bCs/>
        </w:rPr>
        <w:t>Part 3: Reflection Paper</w:t>
      </w:r>
    </w:p>
    <w:p w14:paraId="347B11C9" w14:textId="77777777" w:rsidR="00201A9C" w:rsidRDefault="00B64B37" w:rsidP="00EB492E">
      <w:r w:rsidRPr="002A2EB9">
        <w:rPr>
          <w:b/>
          <w:bCs/>
        </w:rPr>
        <w:t>C</w:t>
      </w:r>
      <w:r w:rsidRPr="002A2EB9">
        <w:rPr>
          <w:b/>
          <w:bCs/>
        </w:rPr>
        <w:t>1.</w:t>
      </w:r>
      <w:r w:rsidRPr="00B64B37">
        <w:t> </w:t>
      </w:r>
      <w:r w:rsidR="0020135E" w:rsidRPr="0020135E">
        <w:t xml:space="preserve">My dashboard perfectly aligns with the needs outlined in the data dictionary by focusing on crucial health metrics like age, gender, diabetes, hypertension, </w:t>
      </w:r>
      <w:r w:rsidR="00693B84">
        <w:t>and</w:t>
      </w:r>
      <w:r w:rsidR="0020135E" w:rsidRPr="0020135E">
        <w:t xml:space="preserve"> overweight conditions. For instance, </w:t>
      </w:r>
      <w:r w:rsidR="0020135E">
        <w:t xml:space="preserve">the </w:t>
      </w:r>
      <w:r w:rsidR="0020135E" w:rsidRPr="0020135E">
        <w:t>Dashboard “</w:t>
      </w:r>
      <w:r w:rsidR="0020135E">
        <w:t xml:space="preserve">Exploring </w:t>
      </w:r>
      <w:r w:rsidR="0020135E" w:rsidRPr="0020135E">
        <w:t xml:space="preserve">Patient Demographics and </w:t>
      </w:r>
      <w:r w:rsidR="0020135E">
        <w:t xml:space="preserve">Health </w:t>
      </w:r>
      <w:r w:rsidR="0020135E" w:rsidRPr="0020135E">
        <w:t xml:space="preserve">Conditions” includes a bar chart showing the "Number of Patients by 2-Year Age Intervals," a pie chart for the "Gender of Patients," and a line chart comparing "Diabetic vs. Non-Diabetic Patients by 2-Year Age </w:t>
      </w:r>
      <w:r w:rsidR="00BD2B22">
        <w:t>Intervals</w:t>
      </w:r>
      <w:r w:rsidR="0020135E" w:rsidRPr="0020135E">
        <w:t>." These visualizations make it easy to identify patterns and trends</w:t>
      </w:r>
      <w:r w:rsidR="00A36C62">
        <w:t>.</w:t>
      </w:r>
      <w:r w:rsidR="0020135E" w:rsidRPr="0020135E">
        <w:t xml:space="preserve"> </w:t>
      </w:r>
    </w:p>
    <w:p w14:paraId="091378D5" w14:textId="19FAF845" w:rsidR="0020135E" w:rsidRDefault="00201A9C" w:rsidP="00EB492E">
      <w:r w:rsidRPr="00201A9C">
        <w:t xml:space="preserve">Let's see a couple of examples. The images below show how the number of patients differs between the CDC and WGU datasets. The upper bar chart demonstrates the number of patients in the CDC dataset, while the lower one shows the number of patients in the WGU dataset. </w:t>
      </w:r>
      <w:r>
        <w:t xml:space="preserve">In the CDC dataset, we see that </w:t>
      </w:r>
      <w:r w:rsidRPr="00201A9C">
        <w:t>the lowest numbers of patients are in the 76-77 and 78-79 age intervals, and the highest numbers are within the 18-19 and 80-81 age intervals. In contrast, WGU patients are distributed evenly across the age groups. Additionally, the WGU dataset has a higher total number of patients.</w:t>
      </w:r>
    </w:p>
    <w:p w14:paraId="2AF527D2" w14:textId="77777777" w:rsidR="00201A9C" w:rsidRDefault="00F65942" w:rsidP="00EB492E">
      <w:r w:rsidRPr="00F65942">
        <w:drawing>
          <wp:inline distT="0" distB="0" distL="0" distR="0" wp14:anchorId="4A5D66B9" wp14:editId="4031340A">
            <wp:extent cx="5943600" cy="1238885"/>
            <wp:effectExtent l="0" t="0" r="0" b="0"/>
            <wp:docPr id="2118132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132562" name=""/>
                    <pic:cNvPicPr/>
                  </pic:nvPicPr>
                  <pic:blipFill>
                    <a:blip r:embed="rId11"/>
                    <a:stretch>
                      <a:fillRect/>
                    </a:stretch>
                  </pic:blipFill>
                  <pic:spPr>
                    <a:xfrm>
                      <a:off x="0" y="0"/>
                      <a:ext cx="5943600" cy="1238885"/>
                    </a:xfrm>
                    <a:prstGeom prst="rect">
                      <a:avLst/>
                    </a:prstGeom>
                  </pic:spPr>
                </pic:pic>
              </a:graphicData>
            </a:graphic>
          </wp:inline>
        </w:drawing>
      </w:r>
      <w:r w:rsidRPr="00F65942">
        <w:drawing>
          <wp:inline distT="0" distB="0" distL="0" distR="0" wp14:anchorId="17F645B9" wp14:editId="6B18A66A">
            <wp:extent cx="5943600" cy="1219200"/>
            <wp:effectExtent l="0" t="0" r="0" b="0"/>
            <wp:docPr id="420419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19711" name=""/>
                    <pic:cNvPicPr/>
                  </pic:nvPicPr>
                  <pic:blipFill>
                    <a:blip r:embed="rId12"/>
                    <a:stretch>
                      <a:fillRect/>
                    </a:stretch>
                  </pic:blipFill>
                  <pic:spPr>
                    <a:xfrm>
                      <a:off x="0" y="0"/>
                      <a:ext cx="5943600" cy="1219200"/>
                    </a:xfrm>
                    <a:prstGeom prst="rect">
                      <a:avLst/>
                    </a:prstGeom>
                  </pic:spPr>
                </pic:pic>
              </a:graphicData>
            </a:graphic>
          </wp:inline>
        </w:drawing>
      </w:r>
      <w:r w:rsidR="00201A9C" w:rsidRPr="00201A9C">
        <w:t xml:space="preserve"> </w:t>
      </w:r>
    </w:p>
    <w:p w14:paraId="044DC204" w14:textId="0269ABEC" w:rsidR="00A36C62" w:rsidRDefault="00201A9C" w:rsidP="00EB492E">
      <w:r w:rsidRPr="00201A9C">
        <w:lastRenderedPageBreak/>
        <w:t>The next two images demonstrate how the number of diabetic patients differs in each age group in the WGU and CDC datasets. The upper image shows the CDC dataset with the number of patients with diabetes starting to rise with age, around 38 years old, reaching its first peak at 60 years. Compared to this, the WGU diabetic patients demonstrate no correlation between age and diagnosis.</w:t>
      </w:r>
    </w:p>
    <w:p w14:paraId="15717C8D" w14:textId="77777777" w:rsidR="00201A9C" w:rsidRDefault="00201A9C" w:rsidP="00EB492E"/>
    <w:p w14:paraId="4291E0DB" w14:textId="02267B04" w:rsidR="0075585C" w:rsidRDefault="0075585C" w:rsidP="00EB492E">
      <w:r w:rsidRPr="0075585C">
        <w:drawing>
          <wp:inline distT="0" distB="0" distL="0" distR="0" wp14:anchorId="1949EBBF" wp14:editId="759302BB">
            <wp:extent cx="5943600" cy="1184275"/>
            <wp:effectExtent l="0" t="0" r="0" b="0"/>
            <wp:docPr id="309014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14423" name=""/>
                    <pic:cNvPicPr/>
                  </pic:nvPicPr>
                  <pic:blipFill>
                    <a:blip r:embed="rId13"/>
                    <a:stretch>
                      <a:fillRect/>
                    </a:stretch>
                  </pic:blipFill>
                  <pic:spPr>
                    <a:xfrm>
                      <a:off x="0" y="0"/>
                      <a:ext cx="5943600" cy="1184275"/>
                    </a:xfrm>
                    <a:prstGeom prst="rect">
                      <a:avLst/>
                    </a:prstGeom>
                  </pic:spPr>
                </pic:pic>
              </a:graphicData>
            </a:graphic>
          </wp:inline>
        </w:drawing>
      </w:r>
    </w:p>
    <w:p w14:paraId="64C4277B" w14:textId="02130983" w:rsidR="0075585C" w:rsidRDefault="0075585C" w:rsidP="00EB492E">
      <w:r w:rsidRPr="0075585C">
        <w:drawing>
          <wp:inline distT="0" distB="0" distL="0" distR="0" wp14:anchorId="2F60A8FA" wp14:editId="74475470">
            <wp:extent cx="5943600" cy="1179830"/>
            <wp:effectExtent l="0" t="0" r="0" b="1270"/>
            <wp:docPr id="1048435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35309" name=""/>
                    <pic:cNvPicPr/>
                  </pic:nvPicPr>
                  <pic:blipFill>
                    <a:blip r:embed="rId14"/>
                    <a:stretch>
                      <a:fillRect/>
                    </a:stretch>
                  </pic:blipFill>
                  <pic:spPr>
                    <a:xfrm>
                      <a:off x="0" y="0"/>
                      <a:ext cx="5943600" cy="1179830"/>
                    </a:xfrm>
                    <a:prstGeom prst="rect">
                      <a:avLst/>
                    </a:prstGeom>
                  </pic:spPr>
                </pic:pic>
              </a:graphicData>
            </a:graphic>
          </wp:inline>
        </w:drawing>
      </w:r>
    </w:p>
    <w:p w14:paraId="277B1021" w14:textId="77777777" w:rsidR="00A36C62" w:rsidRDefault="00A36C62" w:rsidP="00EB492E"/>
    <w:p w14:paraId="4E5A5682" w14:textId="77777777" w:rsidR="00A36C62" w:rsidRDefault="0020135E" w:rsidP="00EB492E">
      <w:r w:rsidRPr="0020135E">
        <w:t>By presenting this information clearly and concisely,</w:t>
      </w:r>
      <w:r>
        <w:t xml:space="preserve"> this</w:t>
      </w:r>
      <w:r w:rsidRPr="0020135E">
        <w:t xml:space="preserve"> dashboard </w:t>
      </w:r>
      <w:r>
        <w:t>gives stakeholders</w:t>
      </w:r>
      <w:r w:rsidRPr="0020135E">
        <w:t xml:space="preserve"> the insights they </w:t>
      </w:r>
    </w:p>
    <w:p w14:paraId="19445906" w14:textId="091D9142" w:rsidR="00B64B37" w:rsidRPr="00B64B37" w:rsidRDefault="0020135E" w:rsidP="00EB492E">
      <w:r w:rsidRPr="0020135E">
        <w:t>need to make informed healthcare decisions and improve patient outcomes. This data-driven approach ensures alignment with the data dictionary's focus on understanding and addressing key health metrics.</w:t>
      </w:r>
    </w:p>
    <w:p w14:paraId="4ECC2A7E" w14:textId="77777777" w:rsidR="002A2EB9" w:rsidRDefault="002A2EB9" w:rsidP="00B64B37">
      <w:pPr>
        <w:rPr>
          <w:b/>
          <w:bCs/>
        </w:rPr>
      </w:pPr>
    </w:p>
    <w:p w14:paraId="7BD3AE4A" w14:textId="5A1948B7" w:rsidR="00B64B37" w:rsidRDefault="00B64B37" w:rsidP="008E6E32">
      <w:r w:rsidRPr="002A2EB9">
        <w:rPr>
          <w:b/>
          <w:bCs/>
        </w:rPr>
        <w:t>C2.</w:t>
      </w:r>
      <w:r w:rsidR="008E06D4">
        <w:t xml:space="preserve"> </w:t>
      </w:r>
      <w:r w:rsidR="008E6E32">
        <w:t>Combining the CDC data with the WGU data gives us a clearer and more detailed picture of patient health. Since both datasets have the same variables, adding them together creates a larger and more diverse sample. This helps us spot unique health patterns that might be missed in just one dataset.</w:t>
      </w:r>
      <w:r w:rsidR="008E6E32">
        <w:t xml:space="preserve"> </w:t>
      </w:r>
      <w:r w:rsidR="008E6E32">
        <w:t>For example, while the WGU data shows no age correlation for diabetes, the CDC data shows that diabetes cases rise with age. This difference highlights the need for different healthcare approaches: age-specific interventions for one dataset and generalized strategies for the other.</w:t>
      </w:r>
      <w:r w:rsidR="008E6E32">
        <w:t xml:space="preserve"> </w:t>
      </w:r>
      <w:r w:rsidR="008E6E32">
        <w:t xml:space="preserve">Cross-referencing the data from both sources also helps us validate the results, </w:t>
      </w:r>
      <w:r w:rsidR="008E6E32">
        <w:t>ensuring</w:t>
      </w:r>
      <w:r w:rsidR="008E6E32">
        <w:t xml:space="preserve"> our findings are reliable. The additional variables let us </w:t>
      </w:r>
      <w:r w:rsidR="008E6E32">
        <w:t>look deeper</w:t>
      </w:r>
      <w:r w:rsidR="008E6E32">
        <w:t xml:space="preserve"> into how age and gender affect health outcomes, leading to better healthcare decisions.</w:t>
      </w:r>
      <w:r w:rsidR="008E6E32">
        <w:t xml:space="preserve"> </w:t>
      </w:r>
      <w:r w:rsidR="008E6E32">
        <w:t>Overall, integrating these datasets gives us a fuller understanding of patient health, which helps us make more informed decisions and improve healthcare programs.</w:t>
      </w:r>
    </w:p>
    <w:p w14:paraId="1AD9006B" w14:textId="77777777" w:rsidR="002A2EB9" w:rsidRDefault="002A2EB9" w:rsidP="00B64B37">
      <w:pPr>
        <w:rPr>
          <w:b/>
          <w:bCs/>
        </w:rPr>
      </w:pPr>
    </w:p>
    <w:p w14:paraId="6D70D73E" w14:textId="43ED4F38" w:rsidR="00201A9C" w:rsidRDefault="003060A6" w:rsidP="00201A9C">
      <w:r w:rsidRPr="002A2EB9">
        <w:rPr>
          <w:b/>
          <w:bCs/>
        </w:rPr>
        <w:t>C3.</w:t>
      </w:r>
      <w:r w:rsidRPr="003060A6">
        <w:t xml:space="preserve"> </w:t>
      </w:r>
      <w:r w:rsidR="00201A9C">
        <w:t xml:space="preserve">My </w:t>
      </w:r>
      <w:r w:rsidR="00201A9C">
        <w:t>“</w:t>
      </w:r>
      <w:r w:rsidR="00201A9C">
        <w:t>Focused Health Condition Analysis</w:t>
      </w:r>
      <w:r w:rsidR="00201A9C">
        <w:t>”</w:t>
      </w:r>
      <w:r w:rsidR="00201A9C">
        <w:t xml:space="preserve"> dashboard features two key data representations: highlight tables showing the </w:t>
      </w:r>
      <w:r w:rsidR="00201A9C">
        <w:t>“</w:t>
      </w:r>
      <w:r w:rsidR="00201A9C">
        <w:t>Number of Hypertensive Patients by 5-Year Age Intervals</w:t>
      </w:r>
      <w:r w:rsidR="00201A9C">
        <w:t>”</w:t>
      </w:r>
      <w:r w:rsidR="00201A9C">
        <w:t xml:space="preserve"> and the </w:t>
      </w:r>
      <w:r w:rsidR="00201A9C">
        <w:t>“</w:t>
      </w:r>
      <w:r w:rsidR="00201A9C">
        <w:t>Number of Overweight Patients by 5-Year Age Intervals.</w:t>
      </w:r>
      <w:r w:rsidR="00201A9C">
        <w:t>”</w:t>
      </w:r>
      <w:r w:rsidR="00201A9C">
        <w:t xml:space="preserve"> Executive leaders can use the hypertension table to identify age groups with the highest prevalence of hypertension, allowing them to allocate resources and develop targeted programs for those specific age brackets. The overweight table reveals the distribution </w:t>
      </w:r>
      <w:r w:rsidR="00201A9C">
        <w:lastRenderedPageBreak/>
        <w:t>of overweight conditions across different age intervals, helping leaders focus on weight management and preventive health measures.</w:t>
      </w:r>
    </w:p>
    <w:p w14:paraId="62C2EE15" w14:textId="6817BA24" w:rsidR="00201A9C" w:rsidRDefault="00201A9C" w:rsidP="00201A9C">
      <w:r>
        <w:t>The dashboard also includes filters such as Source, Age Intervals,</w:t>
      </w:r>
      <w:r w:rsidR="008E6E32">
        <w:t xml:space="preserve"> and</w:t>
      </w:r>
      <w:r>
        <w:t xml:space="preserve"> Gender</w:t>
      </w:r>
      <w:r>
        <w:t>. This enhances</w:t>
      </w:r>
      <w:r>
        <w:t xml:space="preserve"> the analysis by allowing leaders to drill down into specific population subsets, identify unique patterns, and tailor interventions accordingly. Additionally, the six KPIs—Total Number of Hypertensive Patients, Fraction of Hypertensive Patients, Average Age of Hypertensive Patients, Total Number of Overweight Patients, Fraction of Overweight Patients, and Average Age of Overweight Patients—provide quick, actionable metrics that highlight the overall burden of these conditions.</w:t>
      </w:r>
    </w:p>
    <w:p w14:paraId="6462D847" w14:textId="58DE537E" w:rsidR="003060A6" w:rsidRDefault="00201A9C" w:rsidP="00201A9C">
      <w:r>
        <w:t>These data representations, filters, and KPIs enable leaders to make informed, strategic decisions to improve patient care and health outcomes.</w:t>
      </w:r>
    </w:p>
    <w:p w14:paraId="6348A86B" w14:textId="77777777" w:rsidR="002A2EB9" w:rsidRDefault="002A2EB9" w:rsidP="00B64B37">
      <w:pPr>
        <w:rPr>
          <w:b/>
          <w:bCs/>
        </w:rPr>
      </w:pPr>
    </w:p>
    <w:p w14:paraId="6A0DCF52" w14:textId="165966A0" w:rsidR="003060A6" w:rsidRDefault="003060A6" w:rsidP="00B64B37">
      <w:r w:rsidRPr="002A2EB9">
        <w:rPr>
          <w:b/>
          <w:bCs/>
        </w:rPr>
        <w:t>C4.</w:t>
      </w:r>
      <w:r>
        <w:t xml:space="preserve"> </w:t>
      </w:r>
      <w:r w:rsidR="00201A9C" w:rsidRPr="00201A9C">
        <w:t>In my dashboards, the Source and Diabetes filters are two essential interactive controls that help users customize their data view. The Source filter allows users to compare data from the WGU and CDC datasets or view a combined dataset, enabling them to spot discrepancies or similarities between the two sources. This is crucial for validating findings and understanding the differences in health patterns across datasets. The Diabetes filter, on the other hand, lets users isolate data for diabetic and non-diabetic patients, helping to identify specific trends and conditions associated with diabetes. These filters enhance the interactivity and personalization of the dashboard, allowing users to tailor the data presentation to their needs and gain deeper insights.</w:t>
      </w:r>
    </w:p>
    <w:p w14:paraId="5882E5CA" w14:textId="77777777" w:rsidR="00317A47" w:rsidRDefault="00317A47" w:rsidP="00B64B37">
      <w:pPr>
        <w:rPr>
          <w:b/>
          <w:bCs/>
        </w:rPr>
      </w:pPr>
    </w:p>
    <w:p w14:paraId="6E2F4E2B" w14:textId="26D87165" w:rsidR="00693B84" w:rsidRDefault="00BE0AD9" w:rsidP="00B64B37">
      <w:r w:rsidRPr="002A2EB9">
        <w:rPr>
          <w:b/>
          <w:bCs/>
        </w:rPr>
        <w:t>C5.</w:t>
      </w:r>
      <w:r>
        <w:t xml:space="preserve"> </w:t>
      </w:r>
      <w:r w:rsidRPr="00BE0AD9">
        <w:t xml:space="preserve">To ensure my dashboard is accessible to individuals with colorblindness, I chose color palettes that are distinguishable for all color vision deficiencies, such as colorblind-safe palettes. </w:t>
      </w:r>
      <w:r w:rsidR="00693B84" w:rsidRPr="00693B84">
        <w:drawing>
          <wp:inline distT="0" distB="0" distL="0" distR="0" wp14:anchorId="71944F6A" wp14:editId="2B2C5146">
            <wp:extent cx="1326197" cy="2073032"/>
            <wp:effectExtent l="0" t="0" r="7620" b="3810"/>
            <wp:docPr id="1622121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121923" name=""/>
                    <pic:cNvPicPr/>
                  </pic:nvPicPr>
                  <pic:blipFill>
                    <a:blip r:embed="rId15"/>
                    <a:stretch>
                      <a:fillRect/>
                    </a:stretch>
                  </pic:blipFill>
                  <pic:spPr>
                    <a:xfrm>
                      <a:off x="0" y="0"/>
                      <a:ext cx="1347097" cy="2105702"/>
                    </a:xfrm>
                    <a:prstGeom prst="rect">
                      <a:avLst/>
                    </a:prstGeom>
                  </pic:spPr>
                </pic:pic>
              </a:graphicData>
            </a:graphic>
          </wp:inline>
        </w:drawing>
      </w:r>
    </w:p>
    <w:p w14:paraId="6DF1C13C" w14:textId="3BB1D4D8" w:rsidR="003060A6" w:rsidRDefault="00BE0AD9" w:rsidP="00B64B37">
      <w:r w:rsidRPr="00BE0AD9">
        <w:t xml:space="preserve">Additionally, I included text labels </w:t>
      </w:r>
      <w:r>
        <w:t>to clarify the data further</w:t>
      </w:r>
      <w:r w:rsidRPr="00BE0AD9">
        <w:t>. This multi-faceted approach ensures that the dashboard is inclusive and interpretable by everyone, regardless of their ability to perceive color.</w:t>
      </w:r>
    </w:p>
    <w:p w14:paraId="641D6AE6" w14:textId="77777777" w:rsidR="002A2EB9" w:rsidRDefault="002A2EB9" w:rsidP="008631E0">
      <w:pPr>
        <w:rPr>
          <w:b/>
          <w:bCs/>
        </w:rPr>
      </w:pPr>
    </w:p>
    <w:p w14:paraId="4DE5A2B4" w14:textId="77777777" w:rsidR="00265641" w:rsidRDefault="00BE0AD9" w:rsidP="00265641">
      <w:r w:rsidRPr="002A2EB9">
        <w:rPr>
          <w:b/>
          <w:bCs/>
        </w:rPr>
        <w:t>C6.</w:t>
      </w:r>
      <w:r>
        <w:t xml:space="preserve"> </w:t>
      </w:r>
      <w:bookmarkStart w:id="2" w:name="_Hlk180759387"/>
      <w:r w:rsidR="00265641">
        <w:t>The story I aim to convey is the significant differences between the CDC and WGU datasets. Two key data representations in my presentation illustrate this effectively.</w:t>
      </w:r>
      <w:r w:rsidR="00265641">
        <w:t xml:space="preserve"> </w:t>
      </w:r>
    </w:p>
    <w:p w14:paraId="7462FD89" w14:textId="77777777" w:rsidR="00265641" w:rsidRDefault="00265641" w:rsidP="00265641">
      <w:r>
        <w:lastRenderedPageBreak/>
        <w:t>Firstly, the comparison of diabetes prevalence highlights a rise in diabetes cases starting at age 38 and peaking at 60 in the CDC dataset, whereas the WGU dataset shows no age correlation. This discrepancy emphasizes the need for age-specific interventions in the CDC context and a more generalized approach for WGU.</w:t>
      </w:r>
    </w:p>
    <w:p w14:paraId="5C0AF0F1" w14:textId="71556725" w:rsidR="00265641" w:rsidRDefault="00265641" w:rsidP="00265641">
      <w:r>
        <w:t>Secondly, the analysis of hypertensive and overweight conditions reveals that these conditions increase with age in the CDC data, especially peaking in the 60-64 age group. Conversely, the WGU dataset shows no age-related pattern, reinforcing the message that healthcare strategies in WGU should be broadly inclusive rather than age-targeted.</w:t>
      </w:r>
    </w:p>
    <w:p w14:paraId="5D192770" w14:textId="714CDBDB" w:rsidR="00F46B97" w:rsidRDefault="00317A47" w:rsidP="00265641">
      <w:r>
        <w:t>These</w:t>
      </w:r>
      <w:r w:rsidR="00265641">
        <w:t xml:space="preserve"> data representations underscore the differences between the two datasets, supporting the narrative that healthcare approaches must be tailored to </w:t>
      </w:r>
      <w:r w:rsidR="00265641">
        <w:t>each dataset's specific demographic and health profiles</w:t>
      </w:r>
      <w:r w:rsidR="00265641">
        <w:t>.</w:t>
      </w:r>
    </w:p>
    <w:bookmarkEnd w:id="2"/>
    <w:p w14:paraId="68DC2E72" w14:textId="77777777" w:rsidR="00265641" w:rsidRDefault="00265641" w:rsidP="008A6C37"/>
    <w:p w14:paraId="33453A3C" w14:textId="721422A1" w:rsidR="009C2047" w:rsidRDefault="009C2047" w:rsidP="008A6C37">
      <w:r w:rsidRPr="002A2EB9">
        <w:rPr>
          <w:b/>
          <w:bCs/>
        </w:rPr>
        <w:t>C7</w:t>
      </w:r>
      <w:r w:rsidR="008A6C37" w:rsidRPr="002A2EB9">
        <w:rPr>
          <w:b/>
          <w:bCs/>
        </w:rPr>
        <w:t>.</w:t>
      </w:r>
      <w:r w:rsidR="008A6C37">
        <w:t xml:space="preserve"> </w:t>
      </w:r>
      <w:r w:rsidR="00265641" w:rsidRPr="00265641">
        <w:t>I used audience analysis to tailor my presentation to resonate with executive leaders and healthcare stakeholders. By understanding their need for actionable insights and strategic decision-making, I focused on presenting data clearly and concisely. Visualizations like highlight tables, line charts, and KPIs were chosen to provide quick, impactful insights. This approach ensures the message is engaging and informative, helping the audience understand the importance of targeted interventions and resource allocation in improving patient care.</w:t>
      </w:r>
    </w:p>
    <w:p w14:paraId="708A6BE1" w14:textId="77777777" w:rsidR="002A2EB9" w:rsidRDefault="002A2EB9" w:rsidP="00026438">
      <w:pPr>
        <w:rPr>
          <w:b/>
          <w:bCs/>
        </w:rPr>
      </w:pPr>
    </w:p>
    <w:p w14:paraId="7B630575" w14:textId="70B1D021" w:rsidR="00026438" w:rsidRDefault="00026438" w:rsidP="00026438">
      <w:r w:rsidRPr="002A2EB9">
        <w:rPr>
          <w:b/>
          <w:bCs/>
        </w:rPr>
        <w:t>C8.</w:t>
      </w:r>
      <w:r>
        <w:t xml:space="preserve"> </w:t>
      </w:r>
      <w:r w:rsidR="000D4D0E">
        <w:t>I prioritized clarity and inclusivity to design my presentation for universal access by all audiences</w:t>
      </w:r>
      <w:r w:rsidRPr="00026438">
        <w:t xml:space="preserve">. I used clear, readable fonts and high-contrast color schemes to ensure visibility for everyone, including those with visual impairments. Recognizing the needs of </w:t>
      </w:r>
      <w:r w:rsidR="000D4D0E">
        <w:t>colorblind individuals, I incorporated colorblind-safe palettes and included patterns and textures to differentiate data points effectively</w:t>
      </w:r>
      <w:r>
        <w:t>.</w:t>
      </w:r>
      <w:r w:rsidRPr="00026438">
        <w:t xml:space="preserve"> Additionally, </w:t>
      </w:r>
      <w:r w:rsidR="000D4D0E">
        <w:t>Tableau Public makes this presentation</w:t>
      </w:r>
      <w:r w:rsidRPr="00026438">
        <w:t xml:space="preserve"> accessible to everyone online, making it easy to share and view. </w:t>
      </w:r>
      <w:r w:rsidR="000D4D0E">
        <w:t>Considering</w:t>
      </w:r>
      <w:r w:rsidRPr="00026438">
        <w:t xml:space="preserve"> these factors, I ensured the presentation was easily understandable and accessible to a diverse audience, making the data insights relevant and impactful for all viewers.</w:t>
      </w:r>
    </w:p>
    <w:p w14:paraId="72AA32EA" w14:textId="77777777" w:rsidR="002A2EB9" w:rsidRDefault="002A2EB9" w:rsidP="00026438">
      <w:pPr>
        <w:rPr>
          <w:b/>
          <w:bCs/>
        </w:rPr>
      </w:pPr>
    </w:p>
    <w:p w14:paraId="7914389B" w14:textId="0A1CACA1" w:rsidR="00317A47" w:rsidRDefault="00026438" w:rsidP="00317A47">
      <w:r w:rsidRPr="002A2EB9">
        <w:rPr>
          <w:b/>
          <w:bCs/>
        </w:rPr>
        <w:t>C9.</w:t>
      </w:r>
      <w:r>
        <w:t xml:space="preserve"> </w:t>
      </w:r>
      <w:r w:rsidR="00317A47">
        <w:t>Drawing from the elements of effective storytelling in my presentation, I utilized narrative and visuals to engage the audience effectively. In the narrative, I emphasized two main conclusions: the disparities between the patient populations of the CDC and WGU datasets and the differing patterns of health conditions within these populations. By highlighting these key points, I guided the audience through the data, helping them grasp the significance of the findings and their implications for healthcare strategies.</w:t>
      </w:r>
    </w:p>
    <w:p w14:paraId="43F65E01" w14:textId="5BDF786C" w:rsidR="00026438" w:rsidRPr="00B64B37" w:rsidRDefault="00317A47" w:rsidP="00317A47">
      <w:r>
        <w:t xml:space="preserve">Additionally, I employed visual storytelling by incorporating clear and concise visualizations such as highlight tables, bar charts, and line charts. These visuals made complex data easily digestible, capturing the audience's attention and facilitating better understanding. </w:t>
      </w:r>
      <w:r w:rsidR="008E6E32">
        <w:t>Providing multiple data visualizations for the primary points</w:t>
      </w:r>
      <w:r>
        <w:t xml:space="preserve"> ensured the narrative was well-supported and engaging. </w:t>
      </w:r>
      <w:r>
        <w:t>These</w:t>
      </w:r>
      <w:r>
        <w:t xml:space="preserve"> elements created a compelling data story that helped stakeholders make informed decisions.</w:t>
      </w:r>
    </w:p>
    <w:p w14:paraId="7734C456" w14:textId="77777777" w:rsidR="00CA4473" w:rsidRDefault="00CA4473"/>
    <w:p w14:paraId="18198862" w14:textId="33353194" w:rsidR="000D4D0E" w:rsidRPr="002A2EB9" w:rsidRDefault="000D4D0E">
      <w:pPr>
        <w:rPr>
          <w:b/>
          <w:bCs/>
        </w:rPr>
      </w:pPr>
      <w:r w:rsidRPr="002A2EB9">
        <w:rPr>
          <w:b/>
          <w:bCs/>
        </w:rPr>
        <w:lastRenderedPageBreak/>
        <w:t>D. Sources:</w:t>
      </w:r>
    </w:p>
    <w:p w14:paraId="5418745A" w14:textId="77777777" w:rsidR="006C544E" w:rsidRPr="006C544E" w:rsidRDefault="006C544E" w:rsidP="006C544E">
      <w:r w:rsidRPr="006C544E">
        <w:rPr>
          <w:i/>
          <w:iCs/>
        </w:rPr>
        <w:t>Best practices for telling great stories</w:t>
      </w:r>
      <w:r w:rsidRPr="006C544E">
        <w:t>. (n.d.). Tableau. https://help.tableau.com/current/pro/desktop/en-us/story_best_practices.htm</w:t>
      </w:r>
    </w:p>
    <w:p w14:paraId="27BCC42C" w14:textId="5642CC2F" w:rsidR="00052576" w:rsidRDefault="00052576" w:rsidP="00052576">
      <w:r w:rsidRPr="00052576">
        <w:rPr>
          <w:i/>
          <w:iCs/>
        </w:rPr>
        <w:t>Https://app.datacamp.com/</w:t>
      </w:r>
      <w:r w:rsidRPr="00052576">
        <w:t xml:space="preserve">. (n.d.). Retrieved October 1, 2024, from </w:t>
      </w:r>
      <w:hyperlink r:id="rId16" w:history="1">
        <w:r w:rsidRPr="00052576">
          <w:rPr>
            <w:rStyle w:val="Hyperlink"/>
          </w:rPr>
          <w:t>https://app.datacamp.com/learn/custom-tracks/custom-d210-representation-and-reporting</w:t>
        </w:r>
      </w:hyperlink>
    </w:p>
    <w:p w14:paraId="08A0919D" w14:textId="77777777" w:rsidR="007061F4" w:rsidRPr="007061F4" w:rsidRDefault="007061F4" w:rsidP="007061F4">
      <w:pPr>
        <w:rPr>
          <w:i/>
          <w:iCs/>
        </w:rPr>
      </w:pPr>
      <w:r w:rsidRPr="007061F4">
        <w:rPr>
          <w:i/>
          <w:iCs/>
        </w:rPr>
        <w:t>NHANES 2013-2014 Demographics Variable list. (n.d.). https://wwwn.cdc.gov/Nchs/Nhanes/Search/variablelist.aspx?Component=Demographics&amp;CycleBeginYear=2013</w:t>
      </w:r>
    </w:p>
    <w:p w14:paraId="0B25B363" w14:textId="7F01427F" w:rsidR="007061F4" w:rsidRPr="007061F4" w:rsidRDefault="007061F4" w:rsidP="007061F4">
      <w:r w:rsidRPr="007061F4">
        <w:rPr>
          <w:i/>
          <w:iCs/>
        </w:rPr>
        <w:t>National Health and Nutrition Examination Survey</w:t>
      </w:r>
      <w:r w:rsidRPr="007061F4">
        <w:t>. (2017, January 26). Kaggle. https://www.kaggle.com/datasets/cdc/national-health-and-nutrition-examination-survey</w:t>
      </w:r>
    </w:p>
    <w:p w14:paraId="6BC7FC35" w14:textId="77777777" w:rsidR="007061F4" w:rsidRPr="007061F4" w:rsidRDefault="007061F4" w:rsidP="007061F4">
      <w:r w:rsidRPr="007061F4">
        <w:rPr>
          <w:i/>
          <w:iCs/>
        </w:rPr>
        <w:t>NHANES 2013-2014 Questionnaire Variable list</w:t>
      </w:r>
      <w:r w:rsidRPr="007061F4">
        <w:t>. (n.d.). https://wwwn.cdc.gov/Nchs/Nhanes/Search/variablelist.aspx?Component=Questionnaire&amp;CycleBeginYear=2013</w:t>
      </w:r>
    </w:p>
    <w:p w14:paraId="03D6EC33" w14:textId="656AE25B" w:rsidR="00EE7A4F" w:rsidRDefault="00EE7A4F" w:rsidP="006C544E">
      <w:r w:rsidRPr="00EE7A4F">
        <w:t xml:space="preserve">Seto, F. (2024, April 15). </w:t>
      </w:r>
      <w:r w:rsidRPr="00EE7A4F">
        <w:rPr>
          <w:i/>
          <w:iCs/>
        </w:rPr>
        <w:t>How to build Powerful Tableau KPI Dashboard (Step by Step)</w:t>
      </w:r>
      <w:r w:rsidRPr="00EE7A4F">
        <w:t>. Coupler.io Blog. https://blog.coupler.io/tableau-kpi-dashboard/</w:t>
      </w:r>
    </w:p>
    <w:p w14:paraId="14FA6731" w14:textId="60D5C441" w:rsidR="006C544E" w:rsidRPr="006C544E" w:rsidRDefault="006C544E" w:rsidP="006C544E">
      <w:r w:rsidRPr="006C544E">
        <w:t xml:space="preserve">Shaffer, J. (2016, April). 5 Tips on Designing Colorblind-Friendly Visualizations. </w:t>
      </w:r>
      <w:r w:rsidRPr="006C544E">
        <w:rPr>
          <w:i/>
          <w:iCs/>
        </w:rPr>
        <w:t>https://www.tableau.com/</w:t>
      </w:r>
      <w:r w:rsidRPr="006C544E">
        <w:t>. https://www.tableau.com/blog/examining-data-viz-rules-dont-use-red-green-together</w:t>
      </w:r>
    </w:p>
    <w:p w14:paraId="1C2A88BA" w14:textId="77777777" w:rsidR="00052576" w:rsidRDefault="00052576"/>
    <w:p w14:paraId="31B89CEA" w14:textId="77777777" w:rsidR="000D4D0E" w:rsidRDefault="000D4D0E"/>
    <w:p w14:paraId="36453650" w14:textId="77777777" w:rsidR="00D21FD6" w:rsidRDefault="00D21FD6"/>
    <w:p w14:paraId="22A18E6B" w14:textId="77777777" w:rsidR="00D21FD6" w:rsidRDefault="00D21FD6"/>
    <w:sectPr w:rsidR="00D21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D84EF2"/>
    <w:multiLevelType w:val="multilevel"/>
    <w:tmpl w:val="B33203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9501BD"/>
    <w:multiLevelType w:val="hybridMultilevel"/>
    <w:tmpl w:val="294A5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1F622B"/>
    <w:multiLevelType w:val="hybridMultilevel"/>
    <w:tmpl w:val="89809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27178"/>
    <w:multiLevelType w:val="hybridMultilevel"/>
    <w:tmpl w:val="C27EDB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52422B"/>
    <w:multiLevelType w:val="hybridMultilevel"/>
    <w:tmpl w:val="7B5867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C574E63"/>
    <w:multiLevelType w:val="hybridMultilevel"/>
    <w:tmpl w:val="FAB81C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0F27BBA"/>
    <w:multiLevelType w:val="hybridMultilevel"/>
    <w:tmpl w:val="E59C4F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454F63"/>
    <w:multiLevelType w:val="multilevel"/>
    <w:tmpl w:val="B33203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35311E"/>
    <w:multiLevelType w:val="multilevel"/>
    <w:tmpl w:val="E162F2C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93776F"/>
    <w:multiLevelType w:val="hybridMultilevel"/>
    <w:tmpl w:val="582C0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9911E8"/>
    <w:multiLevelType w:val="hybridMultilevel"/>
    <w:tmpl w:val="315AAB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7B45FC7"/>
    <w:multiLevelType w:val="hybridMultilevel"/>
    <w:tmpl w:val="359E3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2B2F19"/>
    <w:multiLevelType w:val="multilevel"/>
    <w:tmpl w:val="240A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6755D0"/>
    <w:multiLevelType w:val="hybridMultilevel"/>
    <w:tmpl w:val="85F6B2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BC52F58"/>
    <w:multiLevelType w:val="hybridMultilevel"/>
    <w:tmpl w:val="A502E178"/>
    <w:lvl w:ilvl="0" w:tplc="FFFFFFFF">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04090001">
      <w:start w:val="1"/>
      <w:numFmt w:val="bullet"/>
      <w:lvlText w:val=""/>
      <w:lvlJc w:val="left"/>
      <w:pPr>
        <w:ind w:left="180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78A80E34"/>
    <w:multiLevelType w:val="hybridMultilevel"/>
    <w:tmpl w:val="32A8B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591CA3"/>
    <w:multiLevelType w:val="multilevel"/>
    <w:tmpl w:val="95C8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E3D33DD"/>
    <w:multiLevelType w:val="multilevel"/>
    <w:tmpl w:val="B5C4BE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762DE6"/>
    <w:multiLevelType w:val="hybridMultilevel"/>
    <w:tmpl w:val="0DB63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0445571">
    <w:abstractNumId w:val="12"/>
  </w:num>
  <w:num w:numId="2" w16cid:durableId="146945721">
    <w:abstractNumId w:val="2"/>
  </w:num>
  <w:num w:numId="3" w16cid:durableId="243144596">
    <w:abstractNumId w:val="9"/>
  </w:num>
  <w:num w:numId="4" w16cid:durableId="2127461266">
    <w:abstractNumId w:val="0"/>
  </w:num>
  <w:num w:numId="5" w16cid:durableId="1295868008">
    <w:abstractNumId w:val="16"/>
  </w:num>
  <w:num w:numId="6" w16cid:durableId="2120953621">
    <w:abstractNumId w:val="15"/>
  </w:num>
  <w:num w:numId="7" w16cid:durableId="1860043943">
    <w:abstractNumId w:val="7"/>
  </w:num>
  <w:num w:numId="8" w16cid:durableId="249507895">
    <w:abstractNumId w:val="8"/>
  </w:num>
  <w:num w:numId="9" w16cid:durableId="1269005802">
    <w:abstractNumId w:val="11"/>
  </w:num>
  <w:num w:numId="10" w16cid:durableId="1668049360">
    <w:abstractNumId w:val="6"/>
  </w:num>
  <w:num w:numId="11" w16cid:durableId="2102136982">
    <w:abstractNumId w:val="18"/>
  </w:num>
  <w:num w:numId="12" w16cid:durableId="1746731009">
    <w:abstractNumId w:val="10"/>
  </w:num>
  <w:num w:numId="13" w16cid:durableId="1261258528">
    <w:abstractNumId w:val="13"/>
  </w:num>
  <w:num w:numId="14" w16cid:durableId="1723362879">
    <w:abstractNumId w:val="3"/>
  </w:num>
  <w:num w:numId="15" w16cid:durableId="241724478">
    <w:abstractNumId w:val="14"/>
  </w:num>
  <w:num w:numId="16" w16cid:durableId="91902982">
    <w:abstractNumId w:val="17"/>
  </w:num>
  <w:num w:numId="17" w16cid:durableId="200677047">
    <w:abstractNumId w:val="5"/>
  </w:num>
  <w:num w:numId="18" w16cid:durableId="1653633893">
    <w:abstractNumId w:val="4"/>
  </w:num>
  <w:num w:numId="19" w16cid:durableId="1151827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30"/>
    <w:rsid w:val="00026438"/>
    <w:rsid w:val="00052576"/>
    <w:rsid w:val="00087B08"/>
    <w:rsid w:val="000C0DB9"/>
    <w:rsid w:val="000D4D0E"/>
    <w:rsid w:val="000D6E67"/>
    <w:rsid w:val="00104304"/>
    <w:rsid w:val="001D2AFE"/>
    <w:rsid w:val="001E1F04"/>
    <w:rsid w:val="0020135E"/>
    <w:rsid w:val="00201A9C"/>
    <w:rsid w:val="00214B1A"/>
    <w:rsid w:val="00215576"/>
    <w:rsid w:val="00265641"/>
    <w:rsid w:val="002912A2"/>
    <w:rsid w:val="002A2EB9"/>
    <w:rsid w:val="002D3D69"/>
    <w:rsid w:val="002D539E"/>
    <w:rsid w:val="002D7DA1"/>
    <w:rsid w:val="003060A6"/>
    <w:rsid w:val="00317A47"/>
    <w:rsid w:val="00326E6D"/>
    <w:rsid w:val="0036633C"/>
    <w:rsid w:val="0036756C"/>
    <w:rsid w:val="00367B2D"/>
    <w:rsid w:val="003C3501"/>
    <w:rsid w:val="00407519"/>
    <w:rsid w:val="00435969"/>
    <w:rsid w:val="0045414F"/>
    <w:rsid w:val="00455880"/>
    <w:rsid w:val="004B507E"/>
    <w:rsid w:val="00533605"/>
    <w:rsid w:val="0058763A"/>
    <w:rsid w:val="005A0C6C"/>
    <w:rsid w:val="00611666"/>
    <w:rsid w:val="00673DF0"/>
    <w:rsid w:val="00693B84"/>
    <w:rsid w:val="006A0D9D"/>
    <w:rsid w:val="006B26FA"/>
    <w:rsid w:val="006C544E"/>
    <w:rsid w:val="006E604B"/>
    <w:rsid w:val="006F3A4B"/>
    <w:rsid w:val="007061F4"/>
    <w:rsid w:val="0075585C"/>
    <w:rsid w:val="007A110D"/>
    <w:rsid w:val="007B599F"/>
    <w:rsid w:val="00861092"/>
    <w:rsid w:val="008631E0"/>
    <w:rsid w:val="008A12C9"/>
    <w:rsid w:val="008A6953"/>
    <w:rsid w:val="008A6C37"/>
    <w:rsid w:val="008E06D4"/>
    <w:rsid w:val="008E6E32"/>
    <w:rsid w:val="009027DD"/>
    <w:rsid w:val="009256ED"/>
    <w:rsid w:val="009604C0"/>
    <w:rsid w:val="009B404A"/>
    <w:rsid w:val="009C2047"/>
    <w:rsid w:val="00A00225"/>
    <w:rsid w:val="00A36C62"/>
    <w:rsid w:val="00A86230"/>
    <w:rsid w:val="00AA5407"/>
    <w:rsid w:val="00B150E7"/>
    <w:rsid w:val="00B64B37"/>
    <w:rsid w:val="00BD2B22"/>
    <w:rsid w:val="00BE0AD9"/>
    <w:rsid w:val="00C16ECB"/>
    <w:rsid w:val="00C96981"/>
    <w:rsid w:val="00CA4473"/>
    <w:rsid w:val="00CB7D74"/>
    <w:rsid w:val="00CF65D7"/>
    <w:rsid w:val="00D03048"/>
    <w:rsid w:val="00D21639"/>
    <w:rsid w:val="00D21FD6"/>
    <w:rsid w:val="00D67B14"/>
    <w:rsid w:val="00D738E2"/>
    <w:rsid w:val="00D80F9B"/>
    <w:rsid w:val="00E47174"/>
    <w:rsid w:val="00E87739"/>
    <w:rsid w:val="00EB492E"/>
    <w:rsid w:val="00EE7A4F"/>
    <w:rsid w:val="00F27F58"/>
    <w:rsid w:val="00F350CA"/>
    <w:rsid w:val="00F46B97"/>
    <w:rsid w:val="00F65942"/>
    <w:rsid w:val="00F66ED6"/>
    <w:rsid w:val="00FD7299"/>
    <w:rsid w:val="00FE4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BC293D"/>
  <w15:chartTrackingRefBased/>
  <w15:docId w15:val="{9666EC04-E403-4726-BBD8-5BA471DB8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6ECB"/>
    <w:rPr>
      <w:color w:val="0563C1" w:themeColor="hyperlink"/>
      <w:u w:val="single"/>
    </w:rPr>
  </w:style>
  <w:style w:type="character" w:styleId="UnresolvedMention">
    <w:name w:val="Unresolved Mention"/>
    <w:basedOn w:val="DefaultParagraphFont"/>
    <w:uiPriority w:val="99"/>
    <w:semiHidden/>
    <w:unhideWhenUsed/>
    <w:rsid w:val="00C16ECB"/>
    <w:rPr>
      <w:color w:val="605E5C"/>
      <w:shd w:val="clear" w:color="auto" w:fill="E1DFDD"/>
    </w:rPr>
  </w:style>
  <w:style w:type="paragraph" w:styleId="ListParagraph">
    <w:name w:val="List Paragraph"/>
    <w:basedOn w:val="Normal"/>
    <w:uiPriority w:val="34"/>
    <w:qFormat/>
    <w:rsid w:val="008A12C9"/>
    <w:pPr>
      <w:ind w:left="720"/>
      <w:contextualSpacing/>
    </w:pPr>
  </w:style>
  <w:style w:type="paragraph" w:styleId="NormalWeb">
    <w:name w:val="Normal (Web)"/>
    <w:basedOn w:val="Normal"/>
    <w:uiPriority w:val="99"/>
    <w:semiHidden/>
    <w:unhideWhenUsed/>
    <w:rsid w:val="00214B1A"/>
    <w:rPr>
      <w:rFonts w:ascii="Times New Roman" w:hAnsi="Times New Roman" w:cs="Times New Roman"/>
      <w:sz w:val="24"/>
      <w:szCs w:val="24"/>
    </w:rPr>
  </w:style>
  <w:style w:type="paragraph" w:customStyle="1" w:styleId="paragraph">
    <w:name w:val="paragraph"/>
    <w:basedOn w:val="Normal"/>
    <w:rsid w:val="00D216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D21639"/>
  </w:style>
  <w:style w:type="character" w:customStyle="1" w:styleId="eop">
    <w:name w:val="eop"/>
    <w:basedOn w:val="DefaultParagraphFont"/>
    <w:rsid w:val="00D21639"/>
  </w:style>
  <w:style w:type="character" w:styleId="FollowedHyperlink">
    <w:name w:val="FollowedHyperlink"/>
    <w:basedOn w:val="DefaultParagraphFont"/>
    <w:uiPriority w:val="99"/>
    <w:semiHidden/>
    <w:unhideWhenUsed/>
    <w:rsid w:val="008E6E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89257">
      <w:bodyDiv w:val="1"/>
      <w:marLeft w:val="0"/>
      <w:marRight w:val="0"/>
      <w:marTop w:val="0"/>
      <w:marBottom w:val="0"/>
      <w:divBdr>
        <w:top w:val="none" w:sz="0" w:space="0" w:color="auto"/>
        <w:left w:val="none" w:sz="0" w:space="0" w:color="auto"/>
        <w:bottom w:val="none" w:sz="0" w:space="0" w:color="auto"/>
        <w:right w:val="none" w:sz="0" w:space="0" w:color="auto"/>
      </w:divBdr>
    </w:div>
    <w:div w:id="115493637">
      <w:bodyDiv w:val="1"/>
      <w:marLeft w:val="0"/>
      <w:marRight w:val="0"/>
      <w:marTop w:val="0"/>
      <w:marBottom w:val="0"/>
      <w:divBdr>
        <w:top w:val="none" w:sz="0" w:space="0" w:color="auto"/>
        <w:left w:val="none" w:sz="0" w:space="0" w:color="auto"/>
        <w:bottom w:val="none" w:sz="0" w:space="0" w:color="auto"/>
        <w:right w:val="none" w:sz="0" w:space="0" w:color="auto"/>
      </w:divBdr>
    </w:div>
    <w:div w:id="117915944">
      <w:bodyDiv w:val="1"/>
      <w:marLeft w:val="0"/>
      <w:marRight w:val="0"/>
      <w:marTop w:val="0"/>
      <w:marBottom w:val="0"/>
      <w:divBdr>
        <w:top w:val="none" w:sz="0" w:space="0" w:color="auto"/>
        <w:left w:val="none" w:sz="0" w:space="0" w:color="auto"/>
        <w:bottom w:val="none" w:sz="0" w:space="0" w:color="auto"/>
        <w:right w:val="none" w:sz="0" w:space="0" w:color="auto"/>
      </w:divBdr>
      <w:divsChild>
        <w:div w:id="39792246">
          <w:marLeft w:val="-720"/>
          <w:marRight w:val="0"/>
          <w:marTop w:val="0"/>
          <w:marBottom w:val="0"/>
          <w:divBdr>
            <w:top w:val="none" w:sz="0" w:space="0" w:color="auto"/>
            <w:left w:val="none" w:sz="0" w:space="0" w:color="auto"/>
            <w:bottom w:val="none" w:sz="0" w:space="0" w:color="auto"/>
            <w:right w:val="none" w:sz="0" w:space="0" w:color="auto"/>
          </w:divBdr>
        </w:div>
      </w:divsChild>
    </w:div>
    <w:div w:id="121002162">
      <w:bodyDiv w:val="1"/>
      <w:marLeft w:val="0"/>
      <w:marRight w:val="0"/>
      <w:marTop w:val="0"/>
      <w:marBottom w:val="0"/>
      <w:divBdr>
        <w:top w:val="none" w:sz="0" w:space="0" w:color="auto"/>
        <w:left w:val="none" w:sz="0" w:space="0" w:color="auto"/>
        <w:bottom w:val="none" w:sz="0" w:space="0" w:color="auto"/>
        <w:right w:val="none" w:sz="0" w:space="0" w:color="auto"/>
      </w:divBdr>
    </w:div>
    <w:div w:id="166554205">
      <w:bodyDiv w:val="1"/>
      <w:marLeft w:val="0"/>
      <w:marRight w:val="0"/>
      <w:marTop w:val="0"/>
      <w:marBottom w:val="0"/>
      <w:divBdr>
        <w:top w:val="none" w:sz="0" w:space="0" w:color="auto"/>
        <w:left w:val="none" w:sz="0" w:space="0" w:color="auto"/>
        <w:bottom w:val="none" w:sz="0" w:space="0" w:color="auto"/>
        <w:right w:val="none" w:sz="0" w:space="0" w:color="auto"/>
      </w:divBdr>
    </w:div>
    <w:div w:id="182131781">
      <w:bodyDiv w:val="1"/>
      <w:marLeft w:val="0"/>
      <w:marRight w:val="0"/>
      <w:marTop w:val="0"/>
      <w:marBottom w:val="0"/>
      <w:divBdr>
        <w:top w:val="none" w:sz="0" w:space="0" w:color="auto"/>
        <w:left w:val="none" w:sz="0" w:space="0" w:color="auto"/>
        <w:bottom w:val="none" w:sz="0" w:space="0" w:color="auto"/>
        <w:right w:val="none" w:sz="0" w:space="0" w:color="auto"/>
      </w:divBdr>
      <w:divsChild>
        <w:div w:id="536161680">
          <w:marLeft w:val="-720"/>
          <w:marRight w:val="0"/>
          <w:marTop w:val="0"/>
          <w:marBottom w:val="0"/>
          <w:divBdr>
            <w:top w:val="none" w:sz="0" w:space="0" w:color="auto"/>
            <w:left w:val="none" w:sz="0" w:space="0" w:color="auto"/>
            <w:bottom w:val="none" w:sz="0" w:space="0" w:color="auto"/>
            <w:right w:val="none" w:sz="0" w:space="0" w:color="auto"/>
          </w:divBdr>
        </w:div>
      </w:divsChild>
    </w:div>
    <w:div w:id="196548546">
      <w:bodyDiv w:val="1"/>
      <w:marLeft w:val="0"/>
      <w:marRight w:val="0"/>
      <w:marTop w:val="0"/>
      <w:marBottom w:val="0"/>
      <w:divBdr>
        <w:top w:val="none" w:sz="0" w:space="0" w:color="auto"/>
        <w:left w:val="none" w:sz="0" w:space="0" w:color="auto"/>
        <w:bottom w:val="none" w:sz="0" w:space="0" w:color="auto"/>
        <w:right w:val="none" w:sz="0" w:space="0" w:color="auto"/>
      </w:divBdr>
      <w:divsChild>
        <w:div w:id="471681119">
          <w:marLeft w:val="-720"/>
          <w:marRight w:val="0"/>
          <w:marTop w:val="0"/>
          <w:marBottom w:val="0"/>
          <w:divBdr>
            <w:top w:val="none" w:sz="0" w:space="0" w:color="auto"/>
            <w:left w:val="none" w:sz="0" w:space="0" w:color="auto"/>
            <w:bottom w:val="none" w:sz="0" w:space="0" w:color="auto"/>
            <w:right w:val="none" w:sz="0" w:space="0" w:color="auto"/>
          </w:divBdr>
        </w:div>
      </w:divsChild>
    </w:div>
    <w:div w:id="315912195">
      <w:bodyDiv w:val="1"/>
      <w:marLeft w:val="0"/>
      <w:marRight w:val="0"/>
      <w:marTop w:val="0"/>
      <w:marBottom w:val="0"/>
      <w:divBdr>
        <w:top w:val="none" w:sz="0" w:space="0" w:color="auto"/>
        <w:left w:val="none" w:sz="0" w:space="0" w:color="auto"/>
        <w:bottom w:val="none" w:sz="0" w:space="0" w:color="auto"/>
        <w:right w:val="none" w:sz="0" w:space="0" w:color="auto"/>
      </w:divBdr>
    </w:div>
    <w:div w:id="349986790">
      <w:bodyDiv w:val="1"/>
      <w:marLeft w:val="0"/>
      <w:marRight w:val="0"/>
      <w:marTop w:val="0"/>
      <w:marBottom w:val="0"/>
      <w:divBdr>
        <w:top w:val="none" w:sz="0" w:space="0" w:color="auto"/>
        <w:left w:val="none" w:sz="0" w:space="0" w:color="auto"/>
        <w:bottom w:val="none" w:sz="0" w:space="0" w:color="auto"/>
        <w:right w:val="none" w:sz="0" w:space="0" w:color="auto"/>
      </w:divBdr>
      <w:divsChild>
        <w:div w:id="653030182">
          <w:marLeft w:val="0"/>
          <w:marRight w:val="0"/>
          <w:marTop w:val="0"/>
          <w:marBottom w:val="0"/>
          <w:divBdr>
            <w:top w:val="single" w:sz="2" w:space="0" w:color="auto"/>
            <w:left w:val="single" w:sz="2" w:space="0" w:color="auto"/>
            <w:bottom w:val="single" w:sz="2" w:space="0" w:color="auto"/>
            <w:right w:val="single" w:sz="2" w:space="0" w:color="auto"/>
          </w:divBdr>
          <w:divsChild>
            <w:div w:id="127942888">
              <w:marLeft w:val="0"/>
              <w:marRight w:val="0"/>
              <w:marTop w:val="0"/>
              <w:marBottom w:val="0"/>
              <w:divBdr>
                <w:top w:val="single" w:sz="2" w:space="0" w:color="auto"/>
                <w:left w:val="single" w:sz="2" w:space="0" w:color="auto"/>
                <w:bottom w:val="single" w:sz="2" w:space="0" w:color="auto"/>
                <w:right w:val="single" w:sz="2" w:space="0" w:color="auto"/>
              </w:divBdr>
              <w:divsChild>
                <w:div w:id="19199722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0284619">
          <w:marLeft w:val="0"/>
          <w:marRight w:val="0"/>
          <w:marTop w:val="0"/>
          <w:marBottom w:val="0"/>
          <w:divBdr>
            <w:top w:val="single" w:sz="2" w:space="0" w:color="auto"/>
            <w:left w:val="single" w:sz="2" w:space="0" w:color="auto"/>
            <w:bottom w:val="single" w:sz="2" w:space="0" w:color="auto"/>
            <w:right w:val="single" w:sz="2" w:space="0" w:color="auto"/>
          </w:divBdr>
          <w:divsChild>
            <w:div w:id="740449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63555696">
      <w:bodyDiv w:val="1"/>
      <w:marLeft w:val="0"/>
      <w:marRight w:val="0"/>
      <w:marTop w:val="0"/>
      <w:marBottom w:val="0"/>
      <w:divBdr>
        <w:top w:val="none" w:sz="0" w:space="0" w:color="auto"/>
        <w:left w:val="none" w:sz="0" w:space="0" w:color="auto"/>
        <w:bottom w:val="none" w:sz="0" w:space="0" w:color="auto"/>
        <w:right w:val="none" w:sz="0" w:space="0" w:color="auto"/>
      </w:divBdr>
    </w:div>
    <w:div w:id="390009145">
      <w:bodyDiv w:val="1"/>
      <w:marLeft w:val="0"/>
      <w:marRight w:val="0"/>
      <w:marTop w:val="0"/>
      <w:marBottom w:val="0"/>
      <w:divBdr>
        <w:top w:val="none" w:sz="0" w:space="0" w:color="auto"/>
        <w:left w:val="none" w:sz="0" w:space="0" w:color="auto"/>
        <w:bottom w:val="none" w:sz="0" w:space="0" w:color="auto"/>
        <w:right w:val="none" w:sz="0" w:space="0" w:color="auto"/>
      </w:divBdr>
      <w:divsChild>
        <w:div w:id="1257859720">
          <w:marLeft w:val="-720"/>
          <w:marRight w:val="0"/>
          <w:marTop w:val="0"/>
          <w:marBottom w:val="0"/>
          <w:divBdr>
            <w:top w:val="none" w:sz="0" w:space="0" w:color="auto"/>
            <w:left w:val="none" w:sz="0" w:space="0" w:color="auto"/>
            <w:bottom w:val="none" w:sz="0" w:space="0" w:color="auto"/>
            <w:right w:val="none" w:sz="0" w:space="0" w:color="auto"/>
          </w:divBdr>
        </w:div>
      </w:divsChild>
    </w:div>
    <w:div w:id="406852777">
      <w:bodyDiv w:val="1"/>
      <w:marLeft w:val="0"/>
      <w:marRight w:val="0"/>
      <w:marTop w:val="0"/>
      <w:marBottom w:val="0"/>
      <w:divBdr>
        <w:top w:val="none" w:sz="0" w:space="0" w:color="auto"/>
        <w:left w:val="none" w:sz="0" w:space="0" w:color="auto"/>
        <w:bottom w:val="none" w:sz="0" w:space="0" w:color="auto"/>
        <w:right w:val="none" w:sz="0" w:space="0" w:color="auto"/>
      </w:divBdr>
    </w:div>
    <w:div w:id="444235603">
      <w:bodyDiv w:val="1"/>
      <w:marLeft w:val="0"/>
      <w:marRight w:val="0"/>
      <w:marTop w:val="0"/>
      <w:marBottom w:val="0"/>
      <w:divBdr>
        <w:top w:val="none" w:sz="0" w:space="0" w:color="auto"/>
        <w:left w:val="none" w:sz="0" w:space="0" w:color="auto"/>
        <w:bottom w:val="none" w:sz="0" w:space="0" w:color="auto"/>
        <w:right w:val="none" w:sz="0" w:space="0" w:color="auto"/>
      </w:divBdr>
      <w:divsChild>
        <w:div w:id="1108769504">
          <w:marLeft w:val="-720"/>
          <w:marRight w:val="0"/>
          <w:marTop w:val="0"/>
          <w:marBottom w:val="0"/>
          <w:divBdr>
            <w:top w:val="none" w:sz="0" w:space="0" w:color="auto"/>
            <w:left w:val="none" w:sz="0" w:space="0" w:color="auto"/>
            <w:bottom w:val="none" w:sz="0" w:space="0" w:color="auto"/>
            <w:right w:val="none" w:sz="0" w:space="0" w:color="auto"/>
          </w:divBdr>
        </w:div>
      </w:divsChild>
    </w:div>
    <w:div w:id="468088339">
      <w:bodyDiv w:val="1"/>
      <w:marLeft w:val="0"/>
      <w:marRight w:val="0"/>
      <w:marTop w:val="0"/>
      <w:marBottom w:val="0"/>
      <w:divBdr>
        <w:top w:val="none" w:sz="0" w:space="0" w:color="auto"/>
        <w:left w:val="none" w:sz="0" w:space="0" w:color="auto"/>
        <w:bottom w:val="none" w:sz="0" w:space="0" w:color="auto"/>
        <w:right w:val="none" w:sz="0" w:space="0" w:color="auto"/>
      </w:divBdr>
    </w:div>
    <w:div w:id="470101333">
      <w:bodyDiv w:val="1"/>
      <w:marLeft w:val="0"/>
      <w:marRight w:val="0"/>
      <w:marTop w:val="0"/>
      <w:marBottom w:val="0"/>
      <w:divBdr>
        <w:top w:val="none" w:sz="0" w:space="0" w:color="auto"/>
        <w:left w:val="none" w:sz="0" w:space="0" w:color="auto"/>
        <w:bottom w:val="none" w:sz="0" w:space="0" w:color="auto"/>
        <w:right w:val="none" w:sz="0" w:space="0" w:color="auto"/>
      </w:divBdr>
      <w:divsChild>
        <w:div w:id="1147085357">
          <w:marLeft w:val="-720"/>
          <w:marRight w:val="0"/>
          <w:marTop w:val="0"/>
          <w:marBottom w:val="0"/>
          <w:divBdr>
            <w:top w:val="none" w:sz="0" w:space="0" w:color="auto"/>
            <w:left w:val="none" w:sz="0" w:space="0" w:color="auto"/>
            <w:bottom w:val="none" w:sz="0" w:space="0" w:color="auto"/>
            <w:right w:val="none" w:sz="0" w:space="0" w:color="auto"/>
          </w:divBdr>
        </w:div>
      </w:divsChild>
    </w:div>
    <w:div w:id="508567382">
      <w:bodyDiv w:val="1"/>
      <w:marLeft w:val="0"/>
      <w:marRight w:val="0"/>
      <w:marTop w:val="0"/>
      <w:marBottom w:val="0"/>
      <w:divBdr>
        <w:top w:val="none" w:sz="0" w:space="0" w:color="auto"/>
        <w:left w:val="none" w:sz="0" w:space="0" w:color="auto"/>
        <w:bottom w:val="none" w:sz="0" w:space="0" w:color="auto"/>
        <w:right w:val="none" w:sz="0" w:space="0" w:color="auto"/>
      </w:divBdr>
      <w:divsChild>
        <w:div w:id="1638294575">
          <w:marLeft w:val="0"/>
          <w:marRight w:val="0"/>
          <w:marTop w:val="0"/>
          <w:marBottom w:val="0"/>
          <w:divBdr>
            <w:top w:val="single" w:sz="2" w:space="0" w:color="auto"/>
            <w:left w:val="single" w:sz="2" w:space="0" w:color="auto"/>
            <w:bottom w:val="single" w:sz="2" w:space="0" w:color="auto"/>
            <w:right w:val="single" w:sz="2" w:space="0" w:color="auto"/>
          </w:divBdr>
          <w:divsChild>
            <w:div w:id="994070856">
              <w:marLeft w:val="0"/>
              <w:marRight w:val="0"/>
              <w:marTop w:val="0"/>
              <w:marBottom w:val="0"/>
              <w:divBdr>
                <w:top w:val="single" w:sz="2" w:space="0" w:color="auto"/>
                <w:left w:val="single" w:sz="2" w:space="0" w:color="auto"/>
                <w:bottom w:val="single" w:sz="2" w:space="0" w:color="auto"/>
                <w:right w:val="single" w:sz="2" w:space="0" w:color="auto"/>
              </w:divBdr>
              <w:divsChild>
                <w:div w:id="6770064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6151553">
          <w:marLeft w:val="0"/>
          <w:marRight w:val="0"/>
          <w:marTop w:val="0"/>
          <w:marBottom w:val="0"/>
          <w:divBdr>
            <w:top w:val="single" w:sz="2" w:space="0" w:color="auto"/>
            <w:left w:val="single" w:sz="2" w:space="0" w:color="auto"/>
            <w:bottom w:val="single" w:sz="2" w:space="0" w:color="auto"/>
            <w:right w:val="single" w:sz="2" w:space="0" w:color="auto"/>
          </w:divBdr>
          <w:divsChild>
            <w:div w:id="2434913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4880844">
      <w:bodyDiv w:val="1"/>
      <w:marLeft w:val="0"/>
      <w:marRight w:val="0"/>
      <w:marTop w:val="0"/>
      <w:marBottom w:val="0"/>
      <w:divBdr>
        <w:top w:val="none" w:sz="0" w:space="0" w:color="auto"/>
        <w:left w:val="none" w:sz="0" w:space="0" w:color="auto"/>
        <w:bottom w:val="none" w:sz="0" w:space="0" w:color="auto"/>
        <w:right w:val="none" w:sz="0" w:space="0" w:color="auto"/>
      </w:divBdr>
    </w:div>
    <w:div w:id="688919481">
      <w:bodyDiv w:val="1"/>
      <w:marLeft w:val="0"/>
      <w:marRight w:val="0"/>
      <w:marTop w:val="0"/>
      <w:marBottom w:val="0"/>
      <w:divBdr>
        <w:top w:val="none" w:sz="0" w:space="0" w:color="auto"/>
        <w:left w:val="none" w:sz="0" w:space="0" w:color="auto"/>
        <w:bottom w:val="none" w:sz="0" w:space="0" w:color="auto"/>
        <w:right w:val="none" w:sz="0" w:space="0" w:color="auto"/>
      </w:divBdr>
      <w:divsChild>
        <w:div w:id="379018014">
          <w:marLeft w:val="-720"/>
          <w:marRight w:val="0"/>
          <w:marTop w:val="0"/>
          <w:marBottom w:val="0"/>
          <w:divBdr>
            <w:top w:val="none" w:sz="0" w:space="0" w:color="auto"/>
            <w:left w:val="none" w:sz="0" w:space="0" w:color="auto"/>
            <w:bottom w:val="none" w:sz="0" w:space="0" w:color="auto"/>
            <w:right w:val="none" w:sz="0" w:space="0" w:color="auto"/>
          </w:divBdr>
        </w:div>
      </w:divsChild>
    </w:div>
    <w:div w:id="695159663">
      <w:bodyDiv w:val="1"/>
      <w:marLeft w:val="0"/>
      <w:marRight w:val="0"/>
      <w:marTop w:val="0"/>
      <w:marBottom w:val="0"/>
      <w:divBdr>
        <w:top w:val="none" w:sz="0" w:space="0" w:color="auto"/>
        <w:left w:val="none" w:sz="0" w:space="0" w:color="auto"/>
        <w:bottom w:val="none" w:sz="0" w:space="0" w:color="auto"/>
        <w:right w:val="none" w:sz="0" w:space="0" w:color="auto"/>
      </w:divBdr>
      <w:divsChild>
        <w:div w:id="1362706354">
          <w:marLeft w:val="-720"/>
          <w:marRight w:val="0"/>
          <w:marTop w:val="0"/>
          <w:marBottom w:val="0"/>
          <w:divBdr>
            <w:top w:val="none" w:sz="0" w:space="0" w:color="auto"/>
            <w:left w:val="none" w:sz="0" w:space="0" w:color="auto"/>
            <w:bottom w:val="none" w:sz="0" w:space="0" w:color="auto"/>
            <w:right w:val="none" w:sz="0" w:space="0" w:color="auto"/>
          </w:divBdr>
        </w:div>
      </w:divsChild>
    </w:div>
    <w:div w:id="703942117">
      <w:bodyDiv w:val="1"/>
      <w:marLeft w:val="0"/>
      <w:marRight w:val="0"/>
      <w:marTop w:val="0"/>
      <w:marBottom w:val="0"/>
      <w:divBdr>
        <w:top w:val="none" w:sz="0" w:space="0" w:color="auto"/>
        <w:left w:val="none" w:sz="0" w:space="0" w:color="auto"/>
        <w:bottom w:val="none" w:sz="0" w:space="0" w:color="auto"/>
        <w:right w:val="none" w:sz="0" w:space="0" w:color="auto"/>
      </w:divBdr>
    </w:div>
    <w:div w:id="706100322">
      <w:bodyDiv w:val="1"/>
      <w:marLeft w:val="0"/>
      <w:marRight w:val="0"/>
      <w:marTop w:val="0"/>
      <w:marBottom w:val="0"/>
      <w:divBdr>
        <w:top w:val="none" w:sz="0" w:space="0" w:color="auto"/>
        <w:left w:val="none" w:sz="0" w:space="0" w:color="auto"/>
        <w:bottom w:val="none" w:sz="0" w:space="0" w:color="auto"/>
        <w:right w:val="none" w:sz="0" w:space="0" w:color="auto"/>
      </w:divBdr>
    </w:div>
    <w:div w:id="732387809">
      <w:bodyDiv w:val="1"/>
      <w:marLeft w:val="0"/>
      <w:marRight w:val="0"/>
      <w:marTop w:val="0"/>
      <w:marBottom w:val="0"/>
      <w:divBdr>
        <w:top w:val="none" w:sz="0" w:space="0" w:color="auto"/>
        <w:left w:val="none" w:sz="0" w:space="0" w:color="auto"/>
        <w:bottom w:val="none" w:sz="0" w:space="0" w:color="auto"/>
        <w:right w:val="none" w:sz="0" w:space="0" w:color="auto"/>
      </w:divBdr>
    </w:div>
    <w:div w:id="756167871">
      <w:bodyDiv w:val="1"/>
      <w:marLeft w:val="0"/>
      <w:marRight w:val="0"/>
      <w:marTop w:val="0"/>
      <w:marBottom w:val="0"/>
      <w:divBdr>
        <w:top w:val="none" w:sz="0" w:space="0" w:color="auto"/>
        <w:left w:val="none" w:sz="0" w:space="0" w:color="auto"/>
        <w:bottom w:val="none" w:sz="0" w:space="0" w:color="auto"/>
        <w:right w:val="none" w:sz="0" w:space="0" w:color="auto"/>
      </w:divBdr>
    </w:div>
    <w:div w:id="768620749">
      <w:bodyDiv w:val="1"/>
      <w:marLeft w:val="0"/>
      <w:marRight w:val="0"/>
      <w:marTop w:val="0"/>
      <w:marBottom w:val="0"/>
      <w:divBdr>
        <w:top w:val="none" w:sz="0" w:space="0" w:color="auto"/>
        <w:left w:val="none" w:sz="0" w:space="0" w:color="auto"/>
        <w:bottom w:val="none" w:sz="0" w:space="0" w:color="auto"/>
        <w:right w:val="none" w:sz="0" w:space="0" w:color="auto"/>
      </w:divBdr>
    </w:div>
    <w:div w:id="771440989">
      <w:bodyDiv w:val="1"/>
      <w:marLeft w:val="0"/>
      <w:marRight w:val="0"/>
      <w:marTop w:val="0"/>
      <w:marBottom w:val="0"/>
      <w:divBdr>
        <w:top w:val="none" w:sz="0" w:space="0" w:color="auto"/>
        <w:left w:val="none" w:sz="0" w:space="0" w:color="auto"/>
        <w:bottom w:val="none" w:sz="0" w:space="0" w:color="auto"/>
        <w:right w:val="none" w:sz="0" w:space="0" w:color="auto"/>
      </w:divBdr>
    </w:div>
    <w:div w:id="804548872">
      <w:bodyDiv w:val="1"/>
      <w:marLeft w:val="0"/>
      <w:marRight w:val="0"/>
      <w:marTop w:val="0"/>
      <w:marBottom w:val="0"/>
      <w:divBdr>
        <w:top w:val="none" w:sz="0" w:space="0" w:color="auto"/>
        <w:left w:val="none" w:sz="0" w:space="0" w:color="auto"/>
        <w:bottom w:val="none" w:sz="0" w:space="0" w:color="auto"/>
        <w:right w:val="none" w:sz="0" w:space="0" w:color="auto"/>
      </w:divBdr>
    </w:div>
    <w:div w:id="906378488">
      <w:bodyDiv w:val="1"/>
      <w:marLeft w:val="0"/>
      <w:marRight w:val="0"/>
      <w:marTop w:val="0"/>
      <w:marBottom w:val="0"/>
      <w:divBdr>
        <w:top w:val="none" w:sz="0" w:space="0" w:color="auto"/>
        <w:left w:val="none" w:sz="0" w:space="0" w:color="auto"/>
        <w:bottom w:val="none" w:sz="0" w:space="0" w:color="auto"/>
        <w:right w:val="none" w:sz="0" w:space="0" w:color="auto"/>
      </w:divBdr>
    </w:div>
    <w:div w:id="930436284">
      <w:bodyDiv w:val="1"/>
      <w:marLeft w:val="0"/>
      <w:marRight w:val="0"/>
      <w:marTop w:val="0"/>
      <w:marBottom w:val="0"/>
      <w:divBdr>
        <w:top w:val="none" w:sz="0" w:space="0" w:color="auto"/>
        <w:left w:val="none" w:sz="0" w:space="0" w:color="auto"/>
        <w:bottom w:val="none" w:sz="0" w:space="0" w:color="auto"/>
        <w:right w:val="none" w:sz="0" w:space="0" w:color="auto"/>
      </w:divBdr>
      <w:divsChild>
        <w:div w:id="1010332982">
          <w:marLeft w:val="-720"/>
          <w:marRight w:val="0"/>
          <w:marTop w:val="0"/>
          <w:marBottom w:val="0"/>
          <w:divBdr>
            <w:top w:val="none" w:sz="0" w:space="0" w:color="auto"/>
            <w:left w:val="none" w:sz="0" w:space="0" w:color="auto"/>
            <w:bottom w:val="none" w:sz="0" w:space="0" w:color="auto"/>
            <w:right w:val="none" w:sz="0" w:space="0" w:color="auto"/>
          </w:divBdr>
        </w:div>
      </w:divsChild>
    </w:div>
    <w:div w:id="1024359552">
      <w:bodyDiv w:val="1"/>
      <w:marLeft w:val="0"/>
      <w:marRight w:val="0"/>
      <w:marTop w:val="0"/>
      <w:marBottom w:val="0"/>
      <w:divBdr>
        <w:top w:val="none" w:sz="0" w:space="0" w:color="auto"/>
        <w:left w:val="none" w:sz="0" w:space="0" w:color="auto"/>
        <w:bottom w:val="none" w:sz="0" w:space="0" w:color="auto"/>
        <w:right w:val="none" w:sz="0" w:space="0" w:color="auto"/>
      </w:divBdr>
    </w:div>
    <w:div w:id="1024943588">
      <w:bodyDiv w:val="1"/>
      <w:marLeft w:val="0"/>
      <w:marRight w:val="0"/>
      <w:marTop w:val="0"/>
      <w:marBottom w:val="0"/>
      <w:divBdr>
        <w:top w:val="none" w:sz="0" w:space="0" w:color="auto"/>
        <w:left w:val="none" w:sz="0" w:space="0" w:color="auto"/>
        <w:bottom w:val="none" w:sz="0" w:space="0" w:color="auto"/>
        <w:right w:val="none" w:sz="0" w:space="0" w:color="auto"/>
      </w:divBdr>
    </w:div>
    <w:div w:id="1058553737">
      <w:bodyDiv w:val="1"/>
      <w:marLeft w:val="0"/>
      <w:marRight w:val="0"/>
      <w:marTop w:val="0"/>
      <w:marBottom w:val="0"/>
      <w:divBdr>
        <w:top w:val="none" w:sz="0" w:space="0" w:color="auto"/>
        <w:left w:val="none" w:sz="0" w:space="0" w:color="auto"/>
        <w:bottom w:val="none" w:sz="0" w:space="0" w:color="auto"/>
        <w:right w:val="none" w:sz="0" w:space="0" w:color="auto"/>
      </w:divBdr>
    </w:div>
    <w:div w:id="1075470618">
      <w:bodyDiv w:val="1"/>
      <w:marLeft w:val="0"/>
      <w:marRight w:val="0"/>
      <w:marTop w:val="0"/>
      <w:marBottom w:val="0"/>
      <w:divBdr>
        <w:top w:val="none" w:sz="0" w:space="0" w:color="auto"/>
        <w:left w:val="none" w:sz="0" w:space="0" w:color="auto"/>
        <w:bottom w:val="none" w:sz="0" w:space="0" w:color="auto"/>
        <w:right w:val="none" w:sz="0" w:space="0" w:color="auto"/>
      </w:divBdr>
    </w:div>
    <w:div w:id="1109353601">
      <w:bodyDiv w:val="1"/>
      <w:marLeft w:val="0"/>
      <w:marRight w:val="0"/>
      <w:marTop w:val="0"/>
      <w:marBottom w:val="0"/>
      <w:divBdr>
        <w:top w:val="none" w:sz="0" w:space="0" w:color="auto"/>
        <w:left w:val="none" w:sz="0" w:space="0" w:color="auto"/>
        <w:bottom w:val="none" w:sz="0" w:space="0" w:color="auto"/>
        <w:right w:val="none" w:sz="0" w:space="0" w:color="auto"/>
      </w:divBdr>
      <w:divsChild>
        <w:div w:id="892883275">
          <w:marLeft w:val="-720"/>
          <w:marRight w:val="0"/>
          <w:marTop w:val="0"/>
          <w:marBottom w:val="0"/>
          <w:divBdr>
            <w:top w:val="none" w:sz="0" w:space="0" w:color="auto"/>
            <w:left w:val="none" w:sz="0" w:space="0" w:color="auto"/>
            <w:bottom w:val="none" w:sz="0" w:space="0" w:color="auto"/>
            <w:right w:val="none" w:sz="0" w:space="0" w:color="auto"/>
          </w:divBdr>
        </w:div>
      </w:divsChild>
    </w:div>
    <w:div w:id="1151480048">
      <w:bodyDiv w:val="1"/>
      <w:marLeft w:val="0"/>
      <w:marRight w:val="0"/>
      <w:marTop w:val="0"/>
      <w:marBottom w:val="0"/>
      <w:divBdr>
        <w:top w:val="none" w:sz="0" w:space="0" w:color="auto"/>
        <w:left w:val="none" w:sz="0" w:space="0" w:color="auto"/>
        <w:bottom w:val="none" w:sz="0" w:space="0" w:color="auto"/>
        <w:right w:val="none" w:sz="0" w:space="0" w:color="auto"/>
      </w:divBdr>
      <w:divsChild>
        <w:div w:id="1206332127">
          <w:marLeft w:val="-720"/>
          <w:marRight w:val="0"/>
          <w:marTop w:val="0"/>
          <w:marBottom w:val="0"/>
          <w:divBdr>
            <w:top w:val="none" w:sz="0" w:space="0" w:color="auto"/>
            <w:left w:val="none" w:sz="0" w:space="0" w:color="auto"/>
            <w:bottom w:val="none" w:sz="0" w:space="0" w:color="auto"/>
            <w:right w:val="none" w:sz="0" w:space="0" w:color="auto"/>
          </w:divBdr>
        </w:div>
      </w:divsChild>
    </w:div>
    <w:div w:id="1269118105">
      <w:bodyDiv w:val="1"/>
      <w:marLeft w:val="0"/>
      <w:marRight w:val="0"/>
      <w:marTop w:val="0"/>
      <w:marBottom w:val="0"/>
      <w:divBdr>
        <w:top w:val="none" w:sz="0" w:space="0" w:color="auto"/>
        <w:left w:val="none" w:sz="0" w:space="0" w:color="auto"/>
        <w:bottom w:val="none" w:sz="0" w:space="0" w:color="auto"/>
        <w:right w:val="none" w:sz="0" w:space="0" w:color="auto"/>
      </w:divBdr>
    </w:div>
    <w:div w:id="1305353727">
      <w:bodyDiv w:val="1"/>
      <w:marLeft w:val="0"/>
      <w:marRight w:val="0"/>
      <w:marTop w:val="0"/>
      <w:marBottom w:val="0"/>
      <w:divBdr>
        <w:top w:val="none" w:sz="0" w:space="0" w:color="auto"/>
        <w:left w:val="none" w:sz="0" w:space="0" w:color="auto"/>
        <w:bottom w:val="none" w:sz="0" w:space="0" w:color="auto"/>
        <w:right w:val="none" w:sz="0" w:space="0" w:color="auto"/>
      </w:divBdr>
    </w:div>
    <w:div w:id="1319647680">
      <w:bodyDiv w:val="1"/>
      <w:marLeft w:val="0"/>
      <w:marRight w:val="0"/>
      <w:marTop w:val="0"/>
      <w:marBottom w:val="0"/>
      <w:divBdr>
        <w:top w:val="none" w:sz="0" w:space="0" w:color="auto"/>
        <w:left w:val="none" w:sz="0" w:space="0" w:color="auto"/>
        <w:bottom w:val="none" w:sz="0" w:space="0" w:color="auto"/>
        <w:right w:val="none" w:sz="0" w:space="0" w:color="auto"/>
      </w:divBdr>
    </w:div>
    <w:div w:id="1391153328">
      <w:bodyDiv w:val="1"/>
      <w:marLeft w:val="0"/>
      <w:marRight w:val="0"/>
      <w:marTop w:val="0"/>
      <w:marBottom w:val="0"/>
      <w:divBdr>
        <w:top w:val="none" w:sz="0" w:space="0" w:color="auto"/>
        <w:left w:val="none" w:sz="0" w:space="0" w:color="auto"/>
        <w:bottom w:val="none" w:sz="0" w:space="0" w:color="auto"/>
        <w:right w:val="none" w:sz="0" w:space="0" w:color="auto"/>
      </w:divBdr>
      <w:divsChild>
        <w:div w:id="526984340">
          <w:marLeft w:val="-720"/>
          <w:marRight w:val="0"/>
          <w:marTop w:val="0"/>
          <w:marBottom w:val="0"/>
          <w:divBdr>
            <w:top w:val="none" w:sz="0" w:space="0" w:color="auto"/>
            <w:left w:val="none" w:sz="0" w:space="0" w:color="auto"/>
            <w:bottom w:val="none" w:sz="0" w:space="0" w:color="auto"/>
            <w:right w:val="none" w:sz="0" w:space="0" w:color="auto"/>
          </w:divBdr>
        </w:div>
      </w:divsChild>
    </w:div>
    <w:div w:id="1473908210">
      <w:bodyDiv w:val="1"/>
      <w:marLeft w:val="0"/>
      <w:marRight w:val="0"/>
      <w:marTop w:val="0"/>
      <w:marBottom w:val="0"/>
      <w:divBdr>
        <w:top w:val="none" w:sz="0" w:space="0" w:color="auto"/>
        <w:left w:val="none" w:sz="0" w:space="0" w:color="auto"/>
        <w:bottom w:val="none" w:sz="0" w:space="0" w:color="auto"/>
        <w:right w:val="none" w:sz="0" w:space="0" w:color="auto"/>
      </w:divBdr>
    </w:div>
    <w:div w:id="1493333606">
      <w:bodyDiv w:val="1"/>
      <w:marLeft w:val="0"/>
      <w:marRight w:val="0"/>
      <w:marTop w:val="0"/>
      <w:marBottom w:val="0"/>
      <w:divBdr>
        <w:top w:val="none" w:sz="0" w:space="0" w:color="auto"/>
        <w:left w:val="none" w:sz="0" w:space="0" w:color="auto"/>
        <w:bottom w:val="none" w:sz="0" w:space="0" w:color="auto"/>
        <w:right w:val="none" w:sz="0" w:space="0" w:color="auto"/>
      </w:divBdr>
      <w:divsChild>
        <w:div w:id="1123042618">
          <w:marLeft w:val="-720"/>
          <w:marRight w:val="0"/>
          <w:marTop w:val="0"/>
          <w:marBottom w:val="0"/>
          <w:divBdr>
            <w:top w:val="none" w:sz="0" w:space="0" w:color="auto"/>
            <w:left w:val="none" w:sz="0" w:space="0" w:color="auto"/>
            <w:bottom w:val="none" w:sz="0" w:space="0" w:color="auto"/>
            <w:right w:val="none" w:sz="0" w:space="0" w:color="auto"/>
          </w:divBdr>
        </w:div>
      </w:divsChild>
    </w:div>
    <w:div w:id="1670524711">
      <w:bodyDiv w:val="1"/>
      <w:marLeft w:val="0"/>
      <w:marRight w:val="0"/>
      <w:marTop w:val="0"/>
      <w:marBottom w:val="0"/>
      <w:divBdr>
        <w:top w:val="none" w:sz="0" w:space="0" w:color="auto"/>
        <w:left w:val="none" w:sz="0" w:space="0" w:color="auto"/>
        <w:bottom w:val="none" w:sz="0" w:space="0" w:color="auto"/>
        <w:right w:val="none" w:sz="0" w:space="0" w:color="auto"/>
      </w:divBdr>
      <w:divsChild>
        <w:div w:id="1002658274">
          <w:marLeft w:val="-720"/>
          <w:marRight w:val="0"/>
          <w:marTop w:val="0"/>
          <w:marBottom w:val="0"/>
          <w:divBdr>
            <w:top w:val="none" w:sz="0" w:space="0" w:color="auto"/>
            <w:left w:val="none" w:sz="0" w:space="0" w:color="auto"/>
            <w:bottom w:val="none" w:sz="0" w:space="0" w:color="auto"/>
            <w:right w:val="none" w:sz="0" w:space="0" w:color="auto"/>
          </w:divBdr>
        </w:div>
      </w:divsChild>
    </w:div>
    <w:div w:id="1707876263">
      <w:bodyDiv w:val="1"/>
      <w:marLeft w:val="0"/>
      <w:marRight w:val="0"/>
      <w:marTop w:val="0"/>
      <w:marBottom w:val="0"/>
      <w:divBdr>
        <w:top w:val="none" w:sz="0" w:space="0" w:color="auto"/>
        <w:left w:val="none" w:sz="0" w:space="0" w:color="auto"/>
        <w:bottom w:val="none" w:sz="0" w:space="0" w:color="auto"/>
        <w:right w:val="none" w:sz="0" w:space="0" w:color="auto"/>
      </w:divBdr>
    </w:div>
    <w:div w:id="1710648825">
      <w:bodyDiv w:val="1"/>
      <w:marLeft w:val="0"/>
      <w:marRight w:val="0"/>
      <w:marTop w:val="0"/>
      <w:marBottom w:val="0"/>
      <w:divBdr>
        <w:top w:val="none" w:sz="0" w:space="0" w:color="auto"/>
        <w:left w:val="none" w:sz="0" w:space="0" w:color="auto"/>
        <w:bottom w:val="none" w:sz="0" w:space="0" w:color="auto"/>
        <w:right w:val="none" w:sz="0" w:space="0" w:color="auto"/>
      </w:divBdr>
    </w:div>
    <w:div w:id="1770391221">
      <w:bodyDiv w:val="1"/>
      <w:marLeft w:val="0"/>
      <w:marRight w:val="0"/>
      <w:marTop w:val="0"/>
      <w:marBottom w:val="0"/>
      <w:divBdr>
        <w:top w:val="none" w:sz="0" w:space="0" w:color="auto"/>
        <w:left w:val="none" w:sz="0" w:space="0" w:color="auto"/>
        <w:bottom w:val="none" w:sz="0" w:space="0" w:color="auto"/>
        <w:right w:val="none" w:sz="0" w:space="0" w:color="auto"/>
      </w:divBdr>
    </w:div>
    <w:div w:id="1776829748">
      <w:bodyDiv w:val="1"/>
      <w:marLeft w:val="0"/>
      <w:marRight w:val="0"/>
      <w:marTop w:val="0"/>
      <w:marBottom w:val="0"/>
      <w:divBdr>
        <w:top w:val="none" w:sz="0" w:space="0" w:color="auto"/>
        <w:left w:val="none" w:sz="0" w:space="0" w:color="auto"/>
        <w:bottom w:val="none" w:sz="0" w:space="0" w:color="auto"/>
        <w:right w:val="none" w:sz="0" w:space="0" w:color="auto"/>
      </w:divBdr>
    </w:div>
    <w:div w:id="1870871409">
      <w:bodyDiv w:val="1"/>
      <w:marLeft w:val="0"/>
      <w:marRight w:val="0"/>
      <w:marTop w:val="0"/>
      <w:marBottom w:val="0"/>
      <w:divBdr>
        <w:top w:val="none" w:sz="0" w:space="0" w:color="auto"/>
        <w:left w:val="none" w:sz="0" w:space="0" w:color="auto"/>
        <w:bottom w:val="none" w:sz="0" w:space="0" w:color="auto"/>
        <w:right w:val="none" w:sz="0" w:space="0" w:color="auto"/>
      </w:divBdr>
    </w:div>
    <w:div w:id="1871987274">
      <w:bodyDiv w:val="1"/>
      <w:marLeft w:val="0"/>
      <w:marRight w:val="0"/>
      <w:marTop w:val="0"/>
      <w:marBottom w:val="0"/>
      <w:divBdr>
        <w:top w:val="none" w:sz="0" w:space="0" w:color="auto"/>
        <w:left w:val="none" w:sz="0" w:space="0" w:color="auto"/>
        <w:bottom w:val="none" w:sz="0" w:space="0" w:color="auto"/>
        <w:right w:val="none" w:sz="0" w:space="0" w:color="auto"/>
      </w:divBdr>
      <w:divsChild>
        <w:div w:id="1785541265">
          <w:marLeft w:val="-720"/>
          <w:marRight w:val="0"/>
          <w:marTop w:val="0"/>
          <w:marBottom w:val="0"/>
          <w:divBdr>
            <w:top w:val="none" w:sz="0" w:space="0" w:color="auto"/>
            <w:left w:val="none" w:sz="0" w:space="0" w:color="auto"/>
            <w:bottom w:val="none" w:sz="0" w:space="0" w:color="auto"/>
            <w:right w:val="none" w:sz="0" w:space="0" w:color="auto"/>
          </w:divBdr>
        </w:div>
      </w:divsChild>
    </w:div>
    <w:div w:id="2041007382">
      <w:bodyDiv w:val="1"/>
      <w:marLeft w:val="0"/>
      <w:marRight w:val="0"/>
      <w:marTop w:val="0"/>
      <w:marBottom w:val="0"/>
      <w:divBdr>
        <w:top w:val="none" w:sz="0" w:space="0" w:color="auto"/>
        <w:left w:val="none" w:sz="0" w:space="0" w:color="auto"/>
        <w:bottom w:val="none" w:sz="0" w:space="0" w:color="auto"/>
        <w:right w:val="none" w:sz="0" w:space="0" w:color="auto"/>
      </w:divBdr>
    </w:div>
    <w:div w:id="2080788171">
      <w:bodyDiv w:val="1"/>
      <w:marLeft w:val="0"/>
      <w:marRight w:val="0"/>
      <w:marTop w:val="0"/>
      <w:marBottom w:val="0"/>
      <w:divBdr>
        <w:top w:val="none" w:sz="0" w:space="0" w:color="auto"/>
        <w:left w:val="none" w:sz="0" w:space="0" w:color="auto"/>
        <w:bottom w:val="none" w:sz="0" w:space="0" w:color="auto"/>
        <w:right w:val="none" w:sz="0" w:space="0" w:color="auto"/>
      </w:divBdr>
      <w:divsChild>
        <w:div w:id="205003356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ublic.tableau.com/views/RepresentationandReporting_17297992839080/KPI?:language=en-US&amp;:sid=&amp;:redirect=auth&amp;:display_count=n&amp;:origin=viz_share_link"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pp.datacamp.com/learn/custom-tracks/custom-d210-representation-and-reporting" TargetMode="External"/><Relationship Id="rId1" Type="http://schemas.openxmlformats.org/officeDocument/2006/relationships/numbering" Target="numbering.xml"/><Relationship Id="rId6" Type="http://schemas.openxmlformats.org/officeDocument/2006/relationships/hyperlink" Target="https://www.kaggle.com/datasets/cdc/national-health-and-nutrition-examination-survey" TargetMode="External"/><Relationship Id="rId11" Type="http://schemas.openxmlformats.org/officeDocument/2006/relationships/image" Target="media/image3.png"/><Relationship Id="rId5" Type="http://schemas.openxmlformats.org/officeDocument/2006/relationships/hyperlink" Target="https://public.tableau.com/views/RepresentationandReporting_17297992839080/KPI?:language=en-US&amp;:sid=&amp;:redirect=auth&amp;:display_count=n&amp;:origin=viz_share_link" TargetMode="External"/><Relationship Id="rId15" Type="http://schemas.openxmlformats.org/officeDocument/2006/relationships/image" Target="media/image7.png"/><Relationship Id="rId10" Type="http://schemas.openxmlformats.org/officeDocument/2006/relationships/hyperlink" Target="https://wgu.hosted.panopto.com/Panopto/Pages/Viewer.aspx?id=efb5ff30-7cdf-47af-b897-b21401779926"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6846</TotalTime>
  <Pages>8</Pages>
  <Words>1875</Words>
  <Characters>12307</Characters>
  <Application>Microsoft Office Word</Application>
  <DocSecurity>0</DocSecurity>
  <Lines>241</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Natallia Zimnitskaya</dc:creator>
  <cp:keywords/>
  <dc:description/>
  <cp:lastModifiedBy>Natallia Zimnitskaya</cp:lastModifiedBy>
  <cp:revision>11</cp:revision>
  <dcterms:created xsi:type="dcterms:W3CDTF">2024-10-20T22:18:00Z</dcterms:created>
  <dcterms:modified xsi:type="dcterms:W3CDTF">2024-10-25T23:25:00Z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32e81345-2fa4-4bb0-b745-522b3cbaa2f8</vt:lpwstr>
  </property>
</Properties>
</file>