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источники/sources_VKR.md.</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инновационного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Обоснование стратегии продвижения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предложенной стратегии продвижения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выпускной квалификационной работы определяется логикой решения поставленных задач и включает введение, три главы, заключение и список использованных источников. В первой главе раскрываются теоретические основы стратегического продвижения инновационных продуктов. Во второй главе проводится анализ деятельности ПАО «Ак Барс Банк», российского рынка биометрии и текущего продвижения продукта Face2. В третьей главе разрабатывается стратегия продвижения Face2 и оценивается её эффективность.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Признаки инновационного продукта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Новизна Технологич- Ценность для Конкуренто- Повышенный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ность потребителя способность уровень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доля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Новаторы Ранние Раннее Позднее Консерваторы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последо- большин- большин- 16%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ватели ство ство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13,5% 34%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Объём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продаж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┌────┤Зрелость├────┐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Рост │ Спад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Внедрение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Segmentation │ ──▶│ Targeting │ ──▶│ Positioning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Сегментация │ │ Выбор целевых │ │ Позиционирование│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рынка по │ │ сегментов по │ │ продукта в созна-│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потребностям │ │ привлекатель- │ │ нии целевой ауди-│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и поведению │ │ ности и доступ-│ │ тории относитель-│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ности │ │ но конкурентов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Области применения биометрии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Банки Транспорт Ритейл Госуслуги СКУД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 МФЦ (доступ)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Образование Здравоохранение Гостиницы Промышленные Спортивные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предприятия объекты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упрощённая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Клиент │ ───биометрия───▶│ ГИС ЕБС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(Минцифры РФ)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согласие │ вектор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на КБС АББ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КБС Ак Барс Банк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(Face2)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Face2Pay Face2Pass Face2Check-in</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(оплата по лицу) (контроль доступа)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[26,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Положительное.</w:t>
            </w:r>
            <w:r>
              <w:rPr>
                <w:rFonts w:ascii="Times New Roman" w:hAnsi="Times New Roman" w:cs="Times New Roman" w:eastAsia="Times New Roman"/>
                <w:color w:val="000000"/>
                <w:sz w:val="24"/>
                <w:szCs w:val="24"/>
                <w:lang w:val="ru-RU"/>
              </w:rPr>
              <w:t xml:space="preserve"> Аккредитация Минцифры (Решение № 4-А от 15.11.2023) и реестр ПО открывают B2G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Положительное по динамике.</w:t>
            </w:r>
            <w:r>
              <w:rPr>
                <w:rFonts w:ascii="Times New Roman" w:hAnsi="Times New Roman" w:cs="Times New Roman" w:eastAsia="Times New Roman"/>
                <w:color w:val="000000"/>
                <w:sz w:val="24"/>
                <w:szCs w:val="24"/>
                <w:lang w:val="ru-RU"/>
              </w:rPr>
              <w:t xml:space="preserve"> Биоэквайринг выгоден рознице по комиссии; B2B/B2G ориентируются на статус,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привычка к оплате лицом → Face2Pay. «−» барьеры доверия → большая доля бюджета на образовательный контент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Положительное по зрелости.</w:t>
            </w:r>
            <w:r>
              <w:rPr>
                <w:rFonts w:ascii="Times New Roman" w:hAnsi="Times New Roman" w:cs="Times New Roman" w:eastAsia="Times New Roman"/>
                <w:color w:val="000000"/>
                <w:sz w:val="24"/>
                <w:szCs w:val="24"/>
                <w:lang w:val="ru-RU"/>
              </w:rPr>
              <w:t xml:space="preserve"> Зона риска: публично нет независимой верификации (NIST FRTE) и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Слабо положительное.</w:t>
            </w:r>
            <w:r>
              <w:rPr>
                <w:rFonts w:ascii="Times New Roman" w:hAnsi="Times New Roman" w:cs="Times New Roman" w:eastAsia="Times New Roman"/>
                <w:color w:val="000000"/>
                <w:sz w:val="24"/>
                <w:szCs w:val="24"/>
                <w:lang w:val="ru-RU"/>
              </w:rPr>
              <w:t xml:space="preserve"> ESG АББ снимает барьер B2G; самостоятельного маркетингового плеча нет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и пять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0"/>
        <w:gridCol w:w="2150"/>
        <w:gridCol w:w="1593"/>
        <w:gridCol w:w="2389"/>
        <w:gridCol w:w="1354"/>
      </w:tblGrid>
      <w:tr>
        <w:trPr>
          <w:tblHeader/>
          <w:cantSplit/>
        </w:trPr>
        <w:tc>
          <w:tcPr>
            <w:tcW w:w="21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1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5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38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b/>
          <w:bCs/>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b/>
          <w:bCs/>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b/>
          <w:bCs/>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b/>
          <w:bCs/>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 воронки Эталонная воронка биометрии (1.3) Воронка Face2 (факт)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Осведомлённость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Интерес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Доверие (ядро) ████████████████████████ ████████████████████████ (содержательно)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(массовый охват)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Пробное использование ████████████████ ████████████████ (РТ +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(вне РТ)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Принятие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Лояльность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3.1.1. Проблемы продвижения, выявленные по результатам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28; 29].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3.1.2. Цель и задачи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3.1.3. Приоритетные целевые сегменты в разрезе двухуровневой модели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3.1.4. Позиционирование Face2 на рынке биометрических решений и формулировка ценностного предложения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сильных сторон Face2, зафиксированных балльной оценкой в таблице 2.2.6 параграфа 2.2 (преимущества по регуляторно-правовому капиталу,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[27; 28; 29]),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3.1.5. Обоснование выбранного типа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3.2.1. Стратегические направления продвижения по сегментам и уровням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3.2.2. Отраслевые офферы для целевых сегментов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3.2.3. Каналы продвижения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3.2.4. Контентная и PR-стратегия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3.2.5. Этапы реализации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3.2.6. Бюджет мероприятий и ресурсное обеспечение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замыкает цепочку «диагноз — стратегия — проверка» и разворачивается в четыре подраздела: методика и система KPI (3.3.1), экономический эффект и ROI (3.3.2), матрица рисков (3.3.3), организационный план внедрения (3.3.4). Принципиальное методическое решение — сценарный подход к расчёту эффекта (Π/Р/О), обусловленный отсутствием публичных бенчмарков по конверсии в B2B-биометрии РФ и неопределённостью отклика рынка на pull-инструменты в первый год их применения [18, с. 5; 8, с. 412; 10, с. 156].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3.3.1. Методика оценки эффективности стратегии и система ключевых показателей результативности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3.3.2. Оценка экономического эффекта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3.3.3. Матрица рисков реализации стратегии и способы их снижения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3.3.4. Организационный план внедрения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