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c="http://schemas.microsoft.com/office/word/2010/wordprocessingCanvas" xmlns:wpg="http://schemas.microsoft.com/office/word/2010/wordprocessingGroup" xmlns:mc="http://schemas.openxmlformats.org/markup-compatibility/2006">
  <w:body>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ВВЕДЕНИЕ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Актуальность темы выпускной квалификационной работы определяется тем, что в современных рыночных условиях коммерческий успех инновационного продукта зависит не только от его технологического совершенства, но и от грамотно выстроенной стратегии продвижения: новизна сама по себе не гарантирует спроса, а вывод нового продукта на рынок выступает самостоятельной управленческой задачей. Особую значимость продвижение приобретает для биометрических технологий — одной из наиболее динамично развивающихся областей инновационных продуктов, специфика которой состоит в строгом государственном регулировании оборота персональных данных и в необходимости преодоления барьера доверия со стороны пользователей; это превращает продуманную стратегию продвижения из вспомогательного в определяющее условие коммерциализации. Российский рынок биометрических технологий перешёл в стадию массовой коммерциализации: по данным Банка России, за девять месяцев 2025 года в Российской Федерации совершено 145,9 млн биометрических платежей с оборотом 112,5 млрд рублей, а число зарегистрированных в Единой биометрической системе пользователей превысило десять миллионов. Одновременно ужесточился регуляторный контур: Федеральный закон от 29 декабря 2022 года № 572-ФЗ ограничил круг участников рынка аккредитованными операторами коммерческих биометрических систем, а федеральные законы № 420-ФЗ и № 421-ФЗ от 30 ноября 2024 года повысили ответственность за нарушения в сфере биометрии. В этих условиях для ПАО «Ак Барс Банк», получившего статус оператора коммерческой биометрической системы в 2023 году, разработка стратегии продвижения биометрического продукта Face2 становится самостоятельной управленческой задачей, решение которой определяет возможности масштабирования продукта на федеральный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Степень разработанности проблемы характеризуется неравномерностью научного освоения смежных областей. Теоретические основы маркетинга инноваций и стратегического управления продвижением новых продуктов раскрыты в работах Ф. Котлера, Й. Шумпетера, Э. Роджерса, Г. Л. Багиева, Р. А. Фатхутдинова, П. Н. Завлина, А. А. Трифиловой. Вопросы банковского маркетинга и цифровой трансформации финансовых организаций представлены в современных публикациях по финансовому сектору. Вместе с тем продвижение биометрических технологий рассматривается преимущественно в правовом и техническом аспектах, тогда как комплексные маркетинговые модели, учитывающие двухуровневую структуру продаж, привязку к государственной инфраструктуре ЕБС и необходимость преодоления психологических барьеров аудитории, остаются недостаточно проработанными.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Целью выпускной квалификационной работы является исследование теоретических подходов к маркетингу инноваций и разработка стратегии продвижения инновационного биометрического продукта Face2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достижения поставленной цели сформулированы следующие задачи:</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раскрыть сущность инновационных продуктов и систематизировать маркетинговые стратегии их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выявить специфику продвижения биометрических технологий в банковском секторе;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дать организационно-экономическую характеристику ПАО «Ак Барс Банк» и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проанализировать российский рынок биометрии, конкурентную среду и определить позицию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оценить текущее состояние продвижения продукта и выявить пробелы;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разработать комплекс мероприятий стратегии продвижения Face2 и обосновать её эффективность.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Объектом исследования выступает ПАО «Ак Барс Банк» как разработчик и оператор коммерческой биометрической системы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Предметом исследования являются управленческие и маркетинговые отношения, возникающие в процессе формирования и реализации стратегии продвижения биометрического продукта на российском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Методологическую основу исследования составил системный подход, дополненный общенаучными методами анализа, синтеза и сравнения, а также методами стратегического и маркетингового анализа: PESTEL-анализом, SWOT-анализом, моделью пяти сил М. Портера, концепцией STP, моделью 7P, сравнительной балльной экспертной оценкой, графическим и табличным методами представления данных. Информационной базой исследования послужили годовая отчётность ПАО «Ак Барс Банк» за 2023–2025 годы, статистические материалы Банка России, нормативно-правовые акты Российской Федерации, публикации Минцифры России и АО «Центр биометрических технологий», а также специализированные научные и отраслевые источники.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Теоретическая значимость работы заключается в адаптации классических маркетинговых моделей к специфике биометрических продуктов, функционирующих в условиях государственного регулирования обработки персональных данных. Практическая значимость состоит в возможности применения разработанной стратегии и комплекса мероприятий в деятельности ПАО «Ак Барс Банк» для масштабирования продукта Face2 за пределы Республики Татарстан, активизации банковской экосистемы как канала продвижения и достройки конверсионной инфраструктуры; предложенные решения применимы и другими аккредитованными операторами коммерческих биометрических систем.</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 ТЕОРЕТИЧЕСКИЕ ОСНОВЫ СТРАТЕГИЧЕСКОГО ПРОДВИЖЕНИЯ ИННОВАЦИОННЫХ ПРОДУКТОВ</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1.1. Сущность и особенности инновационных продуктов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 это результат научно-технической и интеллектуальной деятельности, обладающий качественно новыми характеристиками и предназначенный для удовлетворения существующих или формирования новых потребностей рынка. Основоположник теории инноваций Й. Шумпетер определял инновацию как коммерциализацию новых комбинаций производственных факторов [12, с. 33]. В маркетинговой трактовке Ф. Котлера к инновационным относятся товары и услуги с новыми или существенно улучшенными характеристиками, обеспечивающими дополнительную ценность для потребителя [8, с. 48]. В отечественной научной традиции этот подход получает развитие через установление взаимосвязи между инновационной активностью и конкурентоспособностью как отдельного предприятия, так и национальной экономики в целом [13, с. 14; 14,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товаров традиционного типа набором взаимосвязанных признаков: новизной, технологичностью, способностью создавать ценность для потребителя, конкурентоспособностью и повышенным уровнем риска [12, с. 132; 20, с. 5]. Чем выше степень новизны и технологической сложности, тем большее значение приобретают разъяснение преимуществ, снижение неопределённости и формирование доверия [22, с. 51; 20, с. 9]. Эти признаки обобщены на рисунке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1.1.1. Основные характеристики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Совокупность этих пяти признаков задаёт границу между инновационным и традиционным продуктом и одновременно определяет управленческую сложность его вывода на рынок: чем сильнее выражен каждый из признаков, тем больше ресурсов требуется на продвижение и тем выше цена ошибки маркетинговых решений.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систематизации инновационных продуктов используется ряд классификационных признаков. По объекту изменений различают продуктовые, процессные, маркетинговые и организационные инновации; по степени новизны — радикальные и инкрементальные [12, с. 165–169; 14, с. 41]. Сводная классификация дана в таблице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Классификация инновационных продуктов</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2891"/>
        <w:gridCol w:w="4819"/>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w:t>
            </w:r>
          </w:p>
        </w:tc>
        <w:tc>
          <w:tcPr>
            <w:tcW w:w="28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Новый или существенно улучшенный товар/услуга</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способы производства и обслуживания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методы продвижения и позиционирования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управленческих процессов</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Радикальные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Принципиально новый продукт или способ потребления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Инкрементальные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Улучшение существующих решений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165–169; 14, с.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решения по этой классификации одновременно являются продуктовой инновацией (новый цифровой сервис для пользователя) и процессной (изменение способа идентификации и обслуживания), поэтому требуют двухуровневой коммуникации — и с конечным пользователем, и с организацией-заказчиком [15, с. 29; 24,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Особенностью инновационного продукта является высокий уровень неопределённости рыночного успеха [12, с. 178; 19, с. 4]. Реакция потребителя плохо прогнозируется, а сам продукт часто требует изменения поведенческих паттернов: новых навыков использования или отказа от привычных способов удовлетворения потребности. Поэтому в продвижение встраиваются образовательные программы, демонстрационные мероприятия и пробные версии — то, что снижает воспринимаемый риск покупки [22, с. 51; 20, с. 9]. Группы рисков, с которыми сталкивается организация при выводе инновационного продукта на рынок, систематизированы в таблице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риски, связанные с внедрением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40"/>
        <w:gridCol w:w="4015"/>
        <w:gridCol w:w="3881"/>
      </w:tblGrid>
      <w:tr>
        <w:trPr>
          <w:tblHeader/>
          <w:cantSplit/>
        </w:trPr>
        <w:tc>
          <w:tcPr>
            <w:tcW w:w="17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рисков</w:t>
            </w:r>
          </w:p>
        </w:tc>
        <w:tc>
          <w:tcPr>
            <w:tcW w:w="401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8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Управленческий ответ</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разработки, незрелость технологии, проблемы интеграции</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тестирование, поэтапное масштабирование</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осведомлённость, недоверие, отсутствие спроса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Образовательная коммуникация, демо, ранние последователи</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стоимость, длительная окупаемость, риск возврата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KPI, гибкая цена</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Негативный опыт первых пользователей, предубеждения</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качества, мониторинг отзывов, реакция на инциденты</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нормативной базы, требования к данным, лицензирование</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аудит соответствия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178; 13, с. 78; 19, с.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Технические риски разработки, рыночные риски, связанные с поведением спроса, репутационные риски от негативного опыта первых пользователей и регуляторные риски от меняющегося правового контура образуют единый контур, которым организация управляет на всех этапах вывода продукта на рынок [13, с. 78]. Для биометрических продуктов этот набор рисков особенно значим — регуляторная и репутационная составляющие здесь имеют тот же вес, что и технические.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Восприятие инновации потребителями неоднородно. Согласно теории диффузии инноваций Э. Роджерса, аудитория делится на пять групп — новаторов, ранних последователей, раннее большинство, позднее большинство и консерваторов [14, с. 156]. Каждая группа отличается скоростью принятия и требует своего акцента: для новаторов — технологическое превосходство, для раннего большинства — надёжность и доказательная база, для консерваторов — привычные сценарии использования. Распределение показано на рисунке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1.1.2. Модель диффузии инноваций Э. Роджерса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технологических продуктов это означает, что в фазе вывода целесообразно ориентироваться на новаторов и ранних последователей и через них собирать первичные доказательства надёжности для более консервативных сегментов [18, с. 6; 19,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Жизненный цикл инновационного продукта включает разработку, внедрение, рост, зрелость и спад. От традиционной модели его отличают короткая стадия зрелости и высокая динамика смены технологических поколений, что требует постоянных инвестиций в исследования и разработки [12, с. 201; 14, с. 178]. На этапе внедрения главная нагрузка ложится на информационные и образовательные коммуникации — без них даже технологически состоятельный продукт не доходит до массовой аудитории [20, с. 11]. Графическое представление этапов жизненного цикла инновационного продукта дано на рисунке 1.1.3.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1.1.3. Жизненный цикл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этапе внедрения особое значение приобретают информационные и образовательные коммуникации, демонстрация преимуществ продукта, работа с возражениями и стимулирование пробного использования. Продвижение инновационного продукта должно начинаться ещё до его массового распространения и сопровождать все этапы жизненного цикла [12, с. 204;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инновационные продукты выделяются в особую категорию: они виртуальны по своей природе, распространяются через цифровые каналы, зависят от технологической инфраструктуры и быстро устаревают [6, с. 14]. Внутри этой категории отдельным подклассом стоят банковские цифровые инновации — мобильный банкинг, бесконтактные платежи, удалённое открытие счёта, биометрическая идентификация. Все они работают с чувствительными персональными и финансовыми данными, поэтому к ним предъявляются повышенные требования к защите информации, нормативно-правовому соответствию и доверию пользователей [16, с. 38; 23, с. 91; 24, с. 105].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системы — крайний случай в этом подклассе. Они обладают сразу четырьмя признаками, выводящими их в категорию высокотехнологичных инновационных продуктов повышенного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высокая технологическая сложность — компьютерное зрение, искусственный интеллект, криптографическая защита биометрических векторов [15, с. 30];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работа с особо чувствительными персональными данными — биометрическими векторами лица или голоса, отнесёнными законодательством к специальной категории [23, с. 92];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жёсткий нормативно-правовой контур — Федеральный закон от 29.12.2022 № 572-ФЗ, обязательная аккредитация Минцифры России, сертификация ФСБ и ФСТЭК, ответственность за неправомерное обращение с биометрическими данными вплоть до уголовной [23, с. 93–95];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значительная доля психологических барьеров в восприятии — прежде всего страх утечки данных, несанкционированного использования биометрии и невозможности отозвать сданный биометрический образец [16, с. 41; 25, с.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Сочетание этих факторов делает невозможным продвижение биометрического продукта стандартными для банковской рекламы инструментами: одного информирования и стимулирования спроса недостаточно. Требуется особая стратегия продвижения, в которой обычные функции маркетинга — рассказать, привлечь, продать —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 [16, с. 47; 24, с. 108; 25, с. 119]. Именно это и составляет предмет дальнейшего изложения: в параграфе 1.2 рассматриваются базовые маркетинговые стратегии продвижения инновационных продуктов и определяется, какие из них применимы к высокотехнологичным цифровым решениям, а в параграфе 1.3 эти стратегии адаптируются к специфике биометрических технологий в банковском секторе с учётом нормативной среды, психологических барьеров и архитектуры пользовательского доверия.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1.2. Маркетинговые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инновационного продукта представляет собой комплексный план маркетинговых коммуникаций, направленный на информирование целевой аудитории о новом продукте, формирование потребительского интереса, стимулирование пробных покупок и обеспечение долгосрочной лояльности клиентов [18, с. 4; 19, с. 3]. В отличие от традиционных товаров, продвижение инноваций требует преодоления психологических барьеров потребителей, связанных с недостаточной осведомлённостью о новых технологиях, опасениями относительно надёжности инновационных решений и инерцией потребительского поведения [22, с. 49; 20,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Теория диффузии инноваций Э. Роджерса позволяет учитывать различия в готовности потребителей к принятию новых продуктов [14, с. 156]. В рамках стратегии продвижения это означает необходимость адаптации маркетинговых сообщений и каналов коммуникации под разные группы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 продвижения инновационных продуктов заключается в том, что компания сталкивается не только с задачей информирования потребителей, но и с необходимостью преодоления неопределённости, низкой осведомлённости рынка и недоверия к новому решению [20, с. 8; 19, с. 5]. В учебных материалах по экономике инноваций отмечается, что при продвижении инноваций компании могут сталкиваться с рядом проблем [12, с. 178–181]: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отсутствие сформированного рынка сбыта;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низкая осведомлённость покупателей;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ограниченное количество первых потребителей;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необходимость использования образовательных форм коммуникации, включая демонстрации продукта и разъяснение его преимуществ.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Это особенно важно для технологических продуктов, ценность которых не всегда очевидна потребителю на этапе первого знакомства [20,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должна начинаться с анализа рынка и конкурентной среды [5, с. 67; 10, с. 142]. Такой анализ позволяет определить ёмкость рынка, тенденции его развития, целевые сегменты, потребительские предпочтения, сильные и слабые стороны конкурентов, а также уникальное ценностное предложение продукта. Без предварительного анализа целевой аудитории и конкурентного окружения продвижение инновационного продукта может оказаться неэффективным, поскольку маркетинговые сообщения не будут соответствовать реальным ожиданиям потребителей [5, с. 71].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осуществляется поэтапно. Этапный подход позволяет снизить риски вывода продукта на рынок, учитывать особенности восприятия инновации потребителями и своевременно корректировать маркетинговые мероприятия [18, с. 5; 10, с. 156]. Основные этапы представлены в таблице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Этапы разработки стратегии продвижения нового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86"/>
        <w:gridCol w:w="6251"/>
      </w:tblGrid>
      <w:tr>
        <w:trPr>
          <w:tblHeader/>
          <w:cantSplit/>
        </w:trPr>
        <w:tc>
          <w:tcPr>
            <w:tcW w:w="338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w:t>
            </w:r>
          </w:p>
        </w:tc>
        <w:tc>
          <w:tcPr>
            <w:tcW w:w="625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рынка и конкурентов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Ёмкость, тренды, конкуренты, потребности клиентов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Целевая аудитория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Сегменты с наибольшей ценностью продукта</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Какую проблему решает и чем отличается</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продвижения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Эффективные коммуникационные каналы</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Тестирование коммуникаций</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сообщений и креативов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результатов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эффективности и корректировка стратегии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нового продукта рассматривается как последовательный управленческий процесс, который включает анализ, планирование, реализацию, оценку и корректировку маркетинговых действий [8, с. 412].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подходы к продвижению инновационных товаров и услуг включают стратегию проталкивания, ориентированную на работу с посредниками и партнёрами для обеспечения широкой доступности продукта в каналах распределения, и стратегию вытягивания, направленную на прямое воздействие на конечных потребителей с целью формирования спроса и создания рыночного давления на посредников [8, с. 567; 10, с. 198]. В контексте инновационных продуктов наиболее эффективной является интегрированная стратегия, сочетающая элементы обоих подходов и обеспечивающая синергетический эффект от одновременного воздействия на различные уровни распределительной цепи [18, с. 7; 19, с. 7]. Такие решения могут продвигаться одновременно для разных групп потребителей: внутренних пользователей организации, корпоративных клиентов, партнёрских компаний и конечных пользователей цифровых сервисов. Основные стратегии продвижения инновационного продукта представлены в таблице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стратегии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77"/>
        <w:gridCol w:w="2855"/>
        <w:gridCol w:w="4105"/>
      </w:tblGrid>
      <w:tr>
        <w:trPr>
          <w:tblHeader/>
          <w:cantSplit/>
        </w:trPr>
        <w:tc>
          <w:tcPr>
            <w:tcW w:w="26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w:t>
            </w:r>
          </w:p>
        </w:tc>
        <w:tc>
          <w:tcPr>
            <w:tcW w:w="2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10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Проталкивания (push)</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посредников и партнёров</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Использует существующие каналы распространения</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Вытягивания (pull)</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Прямое воздействие на потребителя</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 осведомлённость и интерес</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Интегрированная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Сочетание push и pull</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Подходит для сложных инноваций</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Совместные проекты</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Расширяет охват, повышает доверие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7; 8, с. 567; 10, с. 198;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биометрических новых продуктов наиболее подходит интегрированная стратегия, потому что требуется работа как с организациями-заказчиками, так и с конечными пользователями [16, с. 48; 24, с. 106]. На примере Face2 это проявляется в том, что продуктовая линейка включает решения для контроля доступа, учёта рабочего времени, оплаты по лицу, подтверждения возраста, регистрации в гостинице, а также внедрения коммерческой биометрической системы для сторонних организаций [27]. Следовательно, продвижение такого продукта должно сочетать работу с плательщиками (корпоративными B2B- и государственными B2G-заказчиками) как основным направлением, формирующим выручку, со вспомогательной коммуникацией с конечными пользователями (B2C) и с внутренними корпоративными коммуникациями.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цифровых инновационных продуктов, включая биометрические системы банков, особую актуальность приобретает стратегия прямого маркетинга, позволяющая установить непосредственную коммуникацию с потенциальными пользователями, собрать детальную обратную связь и персонализировать маркетинговые сообщения в соответствии с индивидуальными потребностями и предпочтениями целевых сегментов [6, с. 87; 8, с. 612].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Одним из базовых инструментов разработки стратегии продвижения инновационного продукта является модель STP, которая включает сегментацию рынка, выбор целевых сегментов и позиционирование продукта [8, с. 314; 10, с. 175]. Данная модель позволяет определить, для каких групп потребителей продукт представляет наибольшую ценность, и сформировать для них соответствующее ценностное предложение. Структура модели STP показана на рисунке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1.2.1. Модель STP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Логика STP делает продвижение инновационного продукта управляемым процессом: вместо обращения к рынку «в целом» компания работает только с теми сегментами, для которых ценностное предложение реально значимо, и формирует под каждый сегмент собственное позиционирование. Для биометрических банковских продуктов это особенно важно, поскольку аудитории и сценарии использования принципиально разные.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позволяет разделить потенциальных потребителей на группы в зависимости от их потребностей, поведения, уровня цифровой грамотности и готовности к использованию инновационных решений [5, с. 124]. Таргетинг предполагает выбор тех сегментов, для которых продукт представляет наибольшую ценность. Позиционирование, в свою очередь, определяет, какое место продукт должен занять в сознании целевой аудитории по сравнению с альтернативными решениями [8, с. 318].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случае биометрического продукта Face2 целевые аудитории различаются по характеру использования технологии. К ним относятся сотрудники банка, корпоративные клиенты, партнёрские организации, а также конечные пользователи цифровых сервисов [27]. Для каждой группы требуется разный акцент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для сотрудников важны удобство и скорость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для корпоративных клиентов — безопасность и эффективность бизнес-процессов;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для конечных пользователей — простота, надёжность и защита персональных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инновационного продукта определяет его восприятие целевой аудиторией относительно конкурирующих альтернатив и формирует основу коммуникационной стратегии [10, с. 188]. Эффективное позиционирование требует выявления уникальных конкурентных преимуществ, значимых для целевых потребителей, и формулирования чёткого ценностного предложения, отражающего функциональные и эмоциональные выгоды использования продукта [8, с. 327].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Стратегии позиционирования продуктов нового поколения могут базироваться на технологическом превосходстве, которое подчёркивает передовой характер используемых решений, на функциональных преимуществах, демонстрирующих способность продукта лучше удовлетворять потребности пользователей, или на эмоциональной привлекательности, связанной с имиджевыми характеристиками бренда и социальным статусом потребителя [17, с. 42; 10, с. 192]. Для биометрических банковских продуктов ключевыми аспектами позиционирования являются безопасность, удобство использования и технологическая инновационность, создающие комплексное ценностное предложение для различных сегментов клиентов [16, с. 49; 24, с. 107].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разработки стратегии продвижения инновационного продукта используется расширенная модель комплекса маркетинга 7P, включающая продукт, цену, каналы распространения, продвижение, персонал, процессы и материальные/цифровые доказательства надёжности [8, с. 354; 10, с. 215]. Данная модель особенно актуальна для цифровых и банковских продуктов, поскольку их ценность формируется не только функциональными характеристиками, но и качеством пользовательского опыта, уровнем доверия и прозрачностью процессов обслуживания [6, с. 92]. Описание модели представлено в таблице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Расширенный комплекс маркетинга 7P применительно к инновационному продукту</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85"/>
        <w:gridCol w:w="2933"/>
        <w:gridCol w:w="4819"/>
      </w:tblGrid>
      <w:tr>
        <w:trPr>
          <w:tblHeader/>
          <w:cantSplit/>
        </w:trPr>
        <w:tc>
          <w:tcPr>
            <w:tcW w:w="18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9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Характеристики и ценность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Решает проблему и отличается от аналогов</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попробовать</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и доступность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для целевой аудитории</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 коммуникации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интерес, доверие</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 и консультанты</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Качество объяснения и сопровождения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Удобство и скорость взаимодействия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Доказательства надёжности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Снижает недоверие — отзывы, кейсы, сертификаты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[8, с. 354; 10, с.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7P позволяет рассматривать продвижение инновационного продукта как комплексную систему, включающую не только коммуникационные мероприятия, но и качество самого продукта, удобство его использования, каналы доступа, сопровождение пользователей и доказательства надёжности. Для инновационных технологических продуктов особое значение имеют элементы People, Process и Physical evidence — именно они помогают снизить недоверие потребителей и сформировать положительный пользовательский опыт [16, с. 50; 24, с. 109].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Коммуникационная стратегия продвижения инновационного продукта определяет выбор каналов коммуникации, формат маркетинговых сообщений, интенсивность коммуникационного воздействия и распределение бюджета между различными инструментами продвижения [8, с. 472; 9, с. 638].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начальном этапе вывода инновационного продукта на рынок приоритетными задачами коммуникации являются информирование целевой аудитории о существовании продукта, разъяснение функциональных возможностей и преимуществ, формирование базового понимания способов использования и снижение воспринимаемых рисков покупки [18, с. 6; 20, с. 10]. Информационная функция реализуется через образовательный контент, демонстрационные мероприятия, детальные описания продукта и экспертные материалы, помогающие потенциальным пользователям осознать ценность инновационного решения. По мере распространения продукта на рынке акцент коммуникационной стратегии смещается на формирование эмоциональной привязанности к бренду, стимулирование повторных использований и создание сообщества лояльных пользователей [8, с. 478].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Продвижение инновационного продукта целесообразно рассматривать через маркетинговую воронку, отражающую последовательное движение потребителя от первичного знакомства с продуктом к его регулярному использованию [6, с. 64; 7, с. 64]. Для инновационных продуктов данная воронка должна включать не только этапы привлечения и покупки, но и этап формирования доверия, поскольку без снижения воспринимаемых рисков потребитель может отказаться от использования новой технологии [20, с. 11; 19, с. 6]. Описание маркетинговой воронки продвижения инновационного продукта представлено в таблице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продвижения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50"/>
        <w:gridCol w:w="3343"/>
        <w:gridCol w:w="3343"/>
      </w:tblGrid>
      <w:tr>
        <w:trPr>
          <w:tblHeader/>
          <w:cantSplit/>
        </w:trPr>
        <w:tc>
          <w:tcPr>
            <w:tcW w:w="29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33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Задача</w:t>
            </w:r>
          </w:p>
        </w:tc>
        <w:tc>
          <w:tcPr>
            <w:tcW w:w="33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Сообщить о продукте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сайт, новости, соцсети</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Объяснить назначение и преимущества</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 статьи, презентации, демо</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Снизить опасения и риски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сертификации, FAQ</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Побудить попробовать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демо-доступ, обучение</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регулярное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Поддержка, инструкции, удобный UX</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Сформировать рекомендации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Отзывы, кейсы, программы вовлечения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64; 7, с. 64;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Ключевое отличие воронки инновационного продукта от воронки традиционного товара — наличие отдельного этапа «Доверие» между интересом и пробным использованием. Без этого этапа потенциальный пользователь не переходит к практическому взаимодействию с технологией, поэтому именно на формирование доверия должна быть направлена основная часть коммуникационных усилий и бюджета на ранних стадиях вывода продукта на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каналы продвижения приобретают критическую важность для инновационных продуктов в силу способности обеспечить точное таргетирование целевой аудитории, оперативную обратную связь от пользователей, возможность персонализации маркетинговых сообщений и эффективное измерение результатов коммуникационных кампаний [6, с. 78; 7, с. 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Интернет-маркетинг инновационных продуктов включает поисковую оптимизацию, обеспечивающую высокую видимость информации о продукте в результатах поиска по релевантным запросам, контекстную рекламу, позволяющую привлечь внимание пользователей, активно ищущих решения определённых проблем, и контент-маркетинг, направленный на создание ценных информационных материалов, демонстрирующих экспертизу компании и формирующих доверие целевой аудитории [6, с. 102; 7,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Социальные медиа представляют особенно эффективный канал продвижения инновационных продуктов благодаря возможности вирусного распространения информации, организации дискуссий с участием потенциальных и существующих пользователей, работы с лидерами мнений и создания сообществ вокруг бренда или продукта [6, с. 134; 7, с. 134]. Каналы продвижения инновационного продукта представлены в таблице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4"/>
        <w:gridCol w:w="2855"/>
        <w:gridCol w:w="3748"/>
      </w:tblGrid>
      <w:tr>
        <w:trPr>
          <w:tblHeader/>
          <w:cantSplit/>
        </w:trPr>
        <w:tc>
          <w:tcPr>
            <w:tcW w:w="30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2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37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Особенности для иннопродукта</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Базовая информация о продукте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Описание, преимущества, FAQ</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и экспертный имидж</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Объясняет значимость инновации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язык, работа с возражениями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Демо-презентации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 в действии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Снижают недоверие к новой технологии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Обучение аудитории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Статьи, инструкции, видеообзоры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на ограниченном масштабе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Обратная связь, подтверждение пользы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через другие организации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 для сложных B2B-решений</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Профессиональная аудитория</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компании, потенциальные партнёры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102–135; 7, с. 102–135; 20, с. 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каналов продвижения инновационного продукта зависит от уровня осведомлённости целевой аудитории, сложности продукта и степени доверия к новой технологии. Для инновационных продуктов особенно важны не только рекламные каналы, но и образовательные, экспертные и демонстрационные форматы, позволяющие объяснить ценность продукта и снизить воспринимаемые риски его использования [20, с. 12;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Возвращаясь к теории диффузии инноваций, следует отметить, что стратегия работы с ранними последователями является критически важным элементом продвижения инновационных продуктов, поскольку данная категория потребителей выполняет функцию «послов бренда», распространяя информацию о продукте в своих социальных кругах и формируя первичные отзывы, влияющие на решения более консервативных сегментов рынка [14, с. 161; 17, с. 47].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Привлечение ранних последователей требует разработки специальных программ, включающих эксклюзивный ранний доступ к продукту, специальные ценовые условия, возможность участия в тестировании и доработке продукта, признание статуса пионеров использования инновации [21, с. 15; 19, с. 8]. Управление отзывами ранних пользователей предполагает активный мониторинг обратной связи, оперативное реагирование на выявленные проблемы, публичную демонстрацию учёта пользовательских предложений в развитии продукта и формирование позитивного информационного фона вокруг инновационного решения [18, с. 8; 21, с. 17]. В случае Face2 такими ранними последователями могут выступать технологически ориентированные сотрудники банка, корпоративные клиенты, заинтересованные в цифровизации процессов, а также партнёрские организации, готовые участвовать в пилотных проектах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Ценовая стратегия продвижения инновационного продукта определяет баланс между необходимостью возврата инвестиций в разработку, конкурентным позиционированием и доступностью продукта для целевых сегментов [8, с. 392; 10, с. 224]. Стратегия снятия сливок предполагает установление высокой начальной цены для максимизации прибыли от ранних последователей, готовых платить премию за инновационность, с последующим постепенным снижением цены для охвата более широких сегментов рынка. Стратегия проникновения на рынок основана на установлении относительно низкой цены для быстрого захвата значительной доли рынка и создания барьеров входа для конкурентов [8, с. 396]. Для банковских инновационных продуктов характерна стратегия бесплатного предоставления базовой функциональности с возможностью монетизации через дополнительные услуги — это минимизирует барьеры принятия инновации и обеспечивает быстрое распространение продукта среди клиентов банка [24, с. 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Партнёрская стратегия продвижения инновационных продуктов предполагает формирование альянсов с компаниями, обладающими комплементарными продуктами, доступом к целевой аудитории или экспертизой в релевантных областях [18, с. 9; 19, с. 8]. Стратегические партнёрства позволяют расширить охват целевой аудитории, повысить доверие к инновационному продукту через ассоциацию с авторитетными брендами, получить доступ к дополнительным каналам распределения и совместно инвестировать в маркетинговые коммуникации. Для биометрических банковских продуктов потенциальными партнёрами выступают производители оборудования, разработчики операционных систем, платёжные системы, ритейлеры и другие организации, заинтересованные в повышении безопасности и удобства идентификации пользователей [16, с. 51; 27]. Совместные маркетинговые кампании с партнёрами создают синергетический эффект и повышают эффективность инвестиций в продвижение инновационного продукта [18,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Измерение эффективности продвижения инновационного продукта требует разработки системы ключевых показателей, отражающих прогресс в достижении маркетинговых целей на различных этапах жизненного цикла продукта [5, с. 198; 8, с. 524]. На стадии внедрения ключевыми метриками являются уровень осведомлённости целевой аудитории о продукте, понимание функциональных возможностей и преимуществ, формирование намерения попробовать продукт. На этапе роста критически важными показателями становятся количество новых пользователей, частота использования продукта, показатели удовлетворённости и готовности рекомендовать продукт другим потребителям [5, с. 201]. Финансовые показатели эффективности включают стоимость привлечения клиента, пожизненную ценность клиента, рентабельность инвестиций в маркетинговые коммуникации и долю рынка инновационного продукта [6, с. 156; 8, с. 528]. Аналитика цифровых каналов продвижения обеспечивает детальную информацию о поведении пользователей, эффективности различных каналов и сообщений, что позволяет оперативно оптимизировать маркетинговую стратегию и повышать результативность коммуникационных кампаний [7, с. 156]. Основные показатели эффективности продвижения инновационного продукта представлены в таблице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Показатели эффективности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04"/>
        <w:gridCol w:w="5833"/>
      </w:tblGrid>
      <w:tr>
        <w:trPr>
          <w:tblHeader/>
          <w:cantSplit/>
        </w:trPr>
        <w:tc>
          <w:tcPr>
            <w:tcW w:w="38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 продвижения</w:t>
            </w:r>
          </w:p>
        </w:tc>
        <w:tc>
          <w:tcPr>
            <w:tcW w:w="58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Показатели эффективности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посещаемость сайта, упоминания в СМИ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просмотры презентаций,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недоверия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Положительные отзывы, снижение отказов, опросы</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Привлечение пользователей</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подключения пилотов</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Удержание</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Частота использования, повторные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Экономика</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CAC, ROI, LTV, срок окупаемости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CSI, NPS, экспертные публикации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[5, с. 198–202; 6, с. 156; 8, с. 524–528]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Face2 система KPI должна включать не только маркетинговые показатели охвата и узнаваемости, но и показатели доверия, активности пользователей, количества внедрений и экономического эффекта. Это связано с тем, что успешность продвижения биометрического продукта определяется не только интересом аудитории, но и фактическим принятием технологии [16, с. 53; 24, с.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Маркетинговые стратегии продвижения инновационных продуктов характеризуются комплексным характером, необходимостью интеграции традиционных и цифровых инструментов коммуникации, особым вниманием к образовательной составляющей маркетинговых сообщений и критической важностью управления восприятием инновации различными категориями потребителей [18, с. 10; 20, с. 13; 19, с. 9]. Успешное продвижение инновационного продукта требует глубокого понимания психологии принятия инноваций, способности адаптировать стратегию к изменяющимся рыночным условиям и готовности инвестировать значительные ресурсы в формирование осведомлённости и доверия целевой аудитории к новому продукту.</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1.3. Особенности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Продвижение биометрических технологий в банковском секторе требует не создания принципиально нового инструментария, а особой настройки стандартных маркетинговых инструментов: смещения акцентов в воронке продвижения, перераспределения веса между элементами комплекса 7P и изменения логики выбора каналов. Настоящий параграф фиксирует особенности биометрии, барьеры её принятия и условия, при которых стандартные маркетинговые инструменты переходят в специфические для банковской биометрии формы.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Биометрия — технология распознавания личности по уникальным физиологическим или поведенческим характеристикам: лицу, голосу, отпечаткам пальцев, рисунку радужной оболочки [15, с. 29; 24, с. 100]. В банковской сфере она решает безопасную идентификацию клиентов при дистанционном обслуживании, противодействие мошенничеству и упрощение доступа к продуктам [16, с. 38; 24, с. 104; 25, с. 115].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в России жёсткий и определяет рамки любых действий банка с биометрией. Федеральный закон от 29.12.2022 № 572-ФЗ относит биометрические векторы к специальной категории персональных данных, обязывает хранить их в Государственной информационной системе ЕБС и разрешает аутентификацию по биометрии только аккредитованным организациям и только при письменном согласии гражданина [23, с. 92–94]. Для банка аккредитация Минцифры России в качестве оператора коммерческой биометрической системы (КБС), сертификация ФСБ и ФСТЭК, включение в реестр отечественного ПО — не формальность, а условие существования продукта на рынке, а после введения 420-ФЗ и 421-ФЗ от 30 ноября 2024 года — ещё и условие защиты от штрафов до 1–3% годового дохода и уголовной ответственности за неправомерное обращение с биометрическими данными [23, с. 95; 27]. Сферы применения биометрии в банке и за его пределами показаны на рисунке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1.3.1. Области применения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Банковский сектор — лишь одно из применений, но самое требовательное по совокупности факторов: высокая чувствительность данных, прямая связь с финансами, регуляторное давление, ожидания пользователя по скорости и надёжности. Поэтому стратегия продвижения, отстроенная для биометрии в банке, потом легко переносится на другие отрасли, а обратное — нет. Дальнейший анализ ведётся именно в банковском контуре.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Если для обычного банковского продукта продвижение начинается с информирования и стимулирования спроса, то для биометрии оно начинается с барьеров. Без их снятия информирование не работает: клиент слышит сообщение о новом сервисе, но не переходит к действию [16, с. 43; 25, с. 113]. Барьеры биометрии в банковском секторе делятся на четыре группы — психологические, поведенческие, организационные (для B2B-заказчиков) и регуляторно-репутационные. Каждая группа требует своего инструментария продвижения, и именно сопоставление барьеров с инструментами из параграфа 1.2 даёт работоспособную стратегию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принятия биометрических технологий и инструменты их преодоления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1"/>
        <w:gridCol w:w="2522"/>
        <w:gridCol w:w="2161"/>
        <w:gridCol w:w="2702"/>
      </w:tblGrid>
      <w:tr>
        <w:trPr>
          <w:tblHeader/>
          <w:cantSplit/>
        </w:trPr>
        <w:tc>
          <w:tcPr>
            <w:tcW w:w="225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барьеров</w:t>
            </w:r>
          </w:p>
        </w:tc>
        <w:tc>
          <w:tcPr>
            <w:tcW w:w="252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 барьера</w:t>
            </w:r>
          </w:p>
        </w:tc>
        <w:tc>
          <w:tcPr>
            <w:tcW w:w="21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 (из 1.2)</w:t>
            </w:r>
          </w:p>
        </w:tc>
        <w:tc>
          <w:tcPr>
            <w:tcW w:w="270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 для биометрии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Психологические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Страх утечки, ощущение «не отозвать» сданный образец</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«Доверие» в воронке;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ФСБ/ФСТЭК, архитектура ЕБС, политика обработки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Когнитивные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Непонимание принципа, миф о «слежке»</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People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Видеоинструкции, инфографика, FAQ, эксперты банка</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Поведенческие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Привычка к картам, паролям, документам</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Демо-стратегия; ранние последователи</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Демозоны, пилоты на сотрудниках, геймификация регистрации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 (B2B)</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окупаемость, сложность интеграции с СКУД и ИТ</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ROI/LTV; партнёры; пилоты</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Бизнес-кейсы, минимальные пилоты, интеграторы</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Регуляторно-репутационные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Штрафы, уголовная ответственность, инциденты</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Статус оператора КБС, ESG-отчётность, открытость к проверкам</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41–47; 24, с. 106–110; 25, с. 113–119; 8, с. 354; 19, с. 7–8;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практический вывод из этой раскладки в том, что бюджет продвижения биометрии распределяется иначе, чем для обычного банковского продукта. Если у массового потребительского сервиса основная часть приходится на этап осведомлённости и интереса, то у биометрии непропорционально большая доля уходит на этапы доверия и пробного использования: образовательный контент, демонстрации, пилоты, экспертные публикации, разъяснение мер защиты данных. На массовую рекламу до снятия барьеров доверия инвестиции окупаются плохо.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показывают, что нужно преодолеть; условия успеха — какие предпосылки должны выполняться, чтобы продвижение в принципе работало. Это четыре группы факторов, которые формируют верхнюю границу того, что вообще достижимо маркетингом (таблица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Условия успешного продвижения биометрических технологий в банковском секторе</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4"/>
        <w:gridCol w:w="3401"/>
        <w:gridCol w:w="3401"/>
      </w:tblGrid>
      <w:tr>
        <w:trPr>
          <w:tblHeader/>
          <w:cantSplit/>
        </w:trPr>
        <w:tc>
          <w:tcPr>
            <w:tcW w:w="28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условий</w:t>
            </w:r>
          </w:p>
        </w:tc>
        <w:tc>
          <w:tcPr>
            <w:tcW w:w="34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4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обеспечивает</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Правовые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(КБС); ФСБ, ФСТЭК; согласие пользователя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вывести продукт и легально использовать «безопасный/законный» в коммуникации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Социально-психологические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доверия, готовность к инновациям, отсутствие острых негативных кейсов</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Восприимчивость к маркетингу; реалистичные сроки принятия</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(FAR/FRR), надёжность, скорость, простота интеграции</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обещаниям маркетинга; работа со статистикой и кейсами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Понятный ROI для B2B, обоснованная цена, измеримый эффект</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в B2B/B2G через ROI, а не только эмоции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45; 23, с. 93; 24, с. 106;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Эти четыре группы — не предмет маркетинга, а его рамка. Если правовое условие нарушено, никакое продвижение не спасёт продукт от регуляторных санкций. Если технологическое условие не выполняется (например, точность распознавания недостаточна для финансовых операций), любая реклама сработает в минус: первый же негативный пользовательский опыт уничтожит репутационный капитал. Если экономическое условие не обосновано для B2B-клиента, лучшая в мире коммуникация не приведёт к подписанию контракта. Поэтому стратегия продвижения биометрии в банке всегда строится после того, как зафиксированы эти четыре опоры, а не вместо них.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барьеров и условий стандартные инструменты продвижения, рассмотренные в параграфе 1.2, перенастраиваются для биометрии в банковском секторе следующим образом.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Интегрированная стратегия (push + pull) в банковской биометрии распадается по сегментам. Push-составляющая работает в B2B и B2G: банк через прямые продажи, отраслевые конференции, партнёрства с интеграторами и вендорами оборудования продвигает решение корпоративным заказчикам и государственным организациям. Pull-составляющая работает в B2C: формирование спроса со стороны конечных пользователей через рекламу, контент-маркетинг и социальные сети [16, с. 48; 24, с. 106]. Особенность в том, что pull в биометрии вторичен по отношению к push: B2B-заказчик принимает решение о внедрении только тогда, когда видит готовность своих клиентов пользоваться технологией, а готовность клиентов формируется через массовые сценарии (метро, библиотеки, магазины), которые сами по себе требуют B2B-партнёра.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STP сегментирует рынок не по социально-демографическим признакам, а по типу заказчика и сценарию использования. Сегменты — банки, МФО, ритейл, гостиницы, транспорт, режимные объекты, государственные учреждения. Для каждого формируется собственное позиционирование: для банков — «соответствие 572-ФЗ и снижение рисков мошенничества», для ритейла — «ускорение обслуживания», для режимных объектов — «контроль доступа без передаваемых пропусков», для государственных учреждений — «цифровизация идентификации без документов» [5, с. 124; 8, с.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расширенном комплексе 7P для биометрии непропорционально вырастают три элемента — People, Process и Physical evidence. People — экспертиза сотрудников банка, выступающих публичными лицами продукта, и качество сопровождения внедрения у заказчика. Process — простота пользовательского пути регистрации и использования (минимизация шагов, скорость распознавания, понятный сценарий восстановления доступа). Physical evidence — сертификаты ФСБ и ФСТЭК, аккредитация Минцифры, кейсы внедрений, отзывы сотрудников банка как ранних пользователей [16, с. 50; 24, с. 109]. Эти три элемента закрывают психологический барьер сильнее, чем элементы Promotion и Price в их классической форме.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для биометрии вытягивается на этапе «Доверие». Между этапами «Интерес» и «Пробное использование» стандартной воронки в биометрии встраивается отдельный длинный этап работы с возражениями: разъяснение архитектуры хранения биометрии в ГИС ЕБС, демонстрация мер защиты, ответы на вопросы о конфиденциальности, публикация статистики точности. Без этого этапа большая часть аудитории, проявившей интерес, не доходит до пробного использования [6, с. 64; 20, с. 11; 19, с. 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смещаются в сторону экспертных и демонстрационных форматов. Удельный вес массовой рекламы снижается в пользу образовательного контент-маркетинга, отраслевых мероприятий, экспертных публикаций в деловых СМИ и физических демозон в офисах банка и партнёрских точках. Социальные сети используются не столько для прямого охвата, сколько для работы с возражениями и распространения отзывов «послов бренда» — технологически ориентированных сотрудников банка, корпоративных клиентов и пилотных пользователей [6, с. 102–135; 14, с. 161;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Программы стимулирования и партнёрства образуют экосистемный слой продвижения. Геймификация регистрации, бонусные программы для ранних пользователей, эксклюзивный доступ к дополнительным функциям снижают психологические барьеры и повышают конверсию в пробное использование [18, с. 8; 6, с. 124; 19, с. 8]. Партнёрства с производителями турникетов и POS-терминалов, разработчиками СКУД, платёжными системами и государственными структурами расширяют каналы дистрибуции, а сама ассоциация с авторитетными партнёрами работает как дополнительный элемент Physical evidence в восприятии заказчиков [16, с. 51;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Сформированная теоретическая рамка позволяет в дальнейшем анализировать продвижение биометрического продукта Face2 Ак Барс Банка не как набор разрозненных активностей, а как систему. В главе 2 проверяется, как эта рамка реализована на практике: какой барьерный набор реально стоит перед Face2 на российском рынке, какие из четырёх условий успеха закрыты у Ак Барс Банка институционально, как конфигурируются инструменты продвижения под продуктовую линейку (Face2Pay, Face2Pass, Face2Check-in, КБС под ключ), и какие сегменты B2B и B2G банк уже охватывает первыми коммерческими внедрениями. Параграф 2.1 описывает банк как разработчика и продукт как объект продвижения, параграф 2.2 — конкурентное окружение и рыночные условия, параграф 2.3 — текущее состояние продвижения и его пробелы. Глава 3 на этой основе формирует целевой комплекс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повышенным уровнем неопределённости рыночного успеха и необходимостью изменения поведенческих паттернов потребителя. Цифровые банковские инновации образуют подкласс с повышенными требованиями к защите данных и доверию пользователей; биометрические системы — крайний случай этого подкласса, сочетающий высокую технологическую сложность, работу с особо чувствительными персональными данными, жёсткий нормативно-правовой контур (№ 572-ФЗ, аккредитация Минцифры, сертификация ФСБ и ФСТЭК) и значительные психологические барьеры. Поэтому их продвижение не сводится к стандартному маркетингу и требует особой стратегии с образовательной составляющей, систематической работой с возражениями и демонстрацией мер защиты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Инструментально такая стратегия опирается на интегрированный подход push + pull, модель STP, расширенный комплекс 7P с особым весом People, Process и Physical evidence, маркетинговую воронку с обязательным этапом «Доверие» и теорию диффузии инноваций Э. Роджерса. Эти универсальные инструменты перенастраиваются под пять групп барьеров принятия биометрии и опираются на четыре условия её успешного продвижения — правовое, социально-психологическое, технологическое и экономическое. Сформулированная теоретическая рамка задаёт аналитическую рамку главы 2 (характеристика банка и продукта, анализ рынка и текущего продвижения) и главы 3 (разработка стратегии).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 АНАЛИЗ ДЕЯТЕЛЬНОСТИ АК БАРС БАНКА В КОНТЕКСТЕ РАЗРАБОТКИ СТРАТЕГИИ ПРОДВИЖЕНИЯ ИННОВАЦИОННОГО ПРОДУКТА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2.1. Характеристика Ак Барс Банка и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Акционерный коммерческий банк «Ак Барс» — публичное акционерное общество со штаб-квартирой в Казани (ул. Декабристов, 1), работает по генеральной лицензии Банка России с 1993 года [30, с. 6–7]. Основной регион присутствия — Республика Татарстан: на конец 2024 года доля местных поставщиков в бюджете закупок составила не менее 60% [26, с. 67]. Сводная динамика основных консолидированных показателей за 2023–2025 годы приведена в таблице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финансовые показатели группы банка «Ак Барс» за 2023–2025 гг., млн руб.</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507"/>
        <w:gridCol w:w="1376"/>
        <w:gridCol w:w="1376"/>
        <w:gridCol w:w="1376"/>
      </w:tblGrid>
      <w:tr>
        <w:trPr>
          <w:tblHeader/>
          <w:cantSplit/>
        </w:trPr>
        <w:tc>
          <w:tcPr>
            <w:tcW w:w="550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37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137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137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r>
      <w:tr>
        <w:trPr>
          <w:cantSplit/>
        </w:trPr>
        <w:tc>
          <w:tcPr>
            <w:tcW w:w="55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Совокупные активы (на конец года)</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866 203</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946 923</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1 157 340</w:t>
            </w:r>
          </w:p>
        </w:tc>
      </w:tr>
      <w:tr>
        <w:trPr>
          <w:cantSplit/>
        </w:trPr>
        <w:tc>
          <w:tcPr>
            <w:tcW w:w="55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капитал (на конец года)</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106 130</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111 972</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126 377</w:t>
            </w:r>
          </w:p>
        </w:tc>
      </w:tr>
      <w:tr>
        <w:trPr>
          <w:cantSplit/>
        </w:trPr>
        <w:tc>
          <w:tcPr>
            <w:tcW w:w="55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Чистые процентные доходы</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31 824</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46 590</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58 135</w:t>
            </w:r>
          </w:p>
        </w:tc>
      </w:tr>
      <w:tr>
        <w:trPr>
          <w:cantSplit/>
        </w:trPr>
        <w:tc>
          <w:tcPr>
            <w:tcW w:w="55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Прибыль за период</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14 195</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7 269</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15 708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[31, с. 1–3; 30, с. 2–3] Дивиденды по итогам отчётных периодов не выплачиваются, а основной финансовый результат концентрируется в корпоративном и инвестиционном сегментах [31, с. 66, 68; 30, с. 2–3]: ресурсы для продвижения нового продукта остаются внутри группы, а собственная B2B-база работает как готовый канал входа для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Действующая Стратегия развития Ак Барс Банка на 2022–2026 годы фиксирует три приоритета: эффективность, клиентоцентричность и гибкость [26, с. 16]. Биометрический продукт встаёт в этот контур естественно: «технологический суверенитет» закрывается у Face2 через сертификацию ФСБ, ФСТЭК и попадание в реестр отечественного ПО [27], «клиентоцентричность» — через сценарии оплаты и доступа без карт и документов, «гибкость» — через возможность быстро запускать сервисы на одной платформе для разных сегментов B2B. Face2 — не точечный эксперимент, а реализация трёх приоритетов одновременно. Клиентская база и розничный портфель банка задают канал, через который продукт может быть распространён во внешний рынок (таблица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Клиентская база и продуктовые показатели Ак Барс Банка по итогам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52"/>
        <w:gridCol w:w="2585"/>
      </w:tblGrid>
      <w:tr>
        <w:trPr>
          <w:tblHeader/>
          <w:cantSplit/>
        </w:trPr>
        <w:tc>
          <w:tcPr>
            <w:tcW w:w="70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на 01.01.2025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клиенты, тыс. чел.</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934</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Корпоративные клиенты,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Активные пользователи Ак Барс Онлайн,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Действующие банковские карты, тыс.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2 265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жителя Республики Татарстан (всего, включая Детскую карту),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Объём транзакций через Ак Барс Онлайн за год, млн</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[26, с. 17, 25, 28, 29,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 одновременно работает с массовой розницей, корпоративным сегментом и социальной аудиторией Татарстана: «Карта жителя Республики Татарстан» охватывает 450 тыс. держателей, в том числе 115 тыс. школьников [26, с. 29]. Цифровая зрелость подтверждается 12 млн транзакций в «Ак Барс Онлайн» за год при сохранении активной аудитории около 930 тыс. человек после удаления приложения из AppStore в начале 2024 года и уже встроенным в приложение функционалом оплаты по биометрии [26, с. 33]. Запущен биоэквайринг через СБП в Казанском метрополитене — совместный проект с Минцифры России, Минтрансом России, Центром биометрических технологий и НСПК [26, с. 30–31]. Кредитные и ESG-рейтинги банка — уровня «A»/«BBB» по национальной шкале всех трёх профильных агентств (АКРА, «Эксперт РА», НКР) и Банка России [26, с. 4]: для B2B-заказчика Face2 это сигнал, что за продуктом стоит финансово устойчивый и аккредитованный банк, а не технологический стартап.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Команда Face2 много лет экспериментировала с разными методами обработки изображений и сосредоточилась на компьютерном зрении; точкой старта стал тестовый биометрический проект 2019 года в офисах самого банка [27]. Хронология развития проекта собрана в таблице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Хронология развития проекта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33"/>
        <w:gridCol w:w="8504"/>
      </w:tblGrid>
      <w:tr>
        <w:trPr>
          <w:tblHeader/>
          <w:cantSplit/>
        </w:trPr>
        <w:tc>
          <w:tcPr>
            <w:tcW w:w="11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Год</w:t>
            </w:r>
          </w:p>
        </w:tc>
        <w:tc>
          <w:tcPr>
            <w:tcW w:w="85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Ключевое событие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2019</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Тестовый биометрический проект в офисах Ак Барс Банка</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2022</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бренда Face2; запуск сервисов доступа на территорию без карточек и выдачи книг в библиотеках без документов</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коммерческой биометрической системы (КБС) и аккредитация Минцифры России (Решение № 4-А от 15.11.2023)</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оплаты по лицу, в том числе в Казанском метрополитене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сервисов подтверждения возраста и регистрации в гостинице без паспорта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Face2 определяет 572-ФЗ от 29 декабря 2022 года: сбор биометрии лица отдан только аккредитованным организациям, векторы хранятся в ГИС ЕБС, аутентификация — только при согласии гражданина [27]. Решение Минцифры России № 4-А от 15 ноября 2023 года вписало банк в число первых в стране операторов КБС [27]. Этот статус — главная разделительная линия между Face2 и локальными биометрическими системами на рынке: локальные решения нарушают 572-ФЗ, не сертифицированы ФСБ России и не обеспечивают защиты биометрических данных [27]. Подробный разбор нормативной базы и ужесточения ответственности по 420-ФЗ и 421-ФЗ от 30.11.2024 вынесен в подраздел 2.2 «Регуляторный и инфраструктурный контур рынка» и здесь не повторяется.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Технологическое ядро Face2 строится на компьютерном зрении и подчинено требованиям 572-ФЗ. Система Face2Pass прошла сертификацию ФСБ и ФСТЭК и попала в реестр отечественного программного обеспечения [27]. Заявленная точность распознавания — 99,5%, среднее время сканирования при благоприятных условиях — около двух секунд [27]. Архитектура работы с данными показана на рисунке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2.1.1. Архитектура взаимодействия Face2 с ГИС ЕБС в контуре коммерческой биометрической системы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Схема снимает один из ключевых барьеров доверия к биометрии: клиент сдаёт упрощённую биометрию через приложение «Госуслуги Биометрия», вектор хранится в государственной системе, а банк получает обезличенный вектор только по явному согласию пользователя [27]. Криптозащита и сертификация ФСБ закрывают риски утечки и подделки.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Пользовательский путь подключения к Face2 укладывается в четыре шага: установка приложения «Госуслуги Биометрия», сдача упрощённой биометрии через приложение, согласие на использование биометрического вектора КБС Ак Барс Банка, проход в офис или оплата по лицу [27]. Каждый шаг — за пределами контура самого заказчика, что снимает с клиентского бизнеса нагрузку по сбору и хранению чувствительных данных. Со стороны заказчика для запуска требуется только турникет, совместимый с биотерминалами, стабильное интернет-соединение со скоростью не менее 10 Мбит/с и непрерывностью работы канала не менее 95%, а также доступ к базовой СКУД-системе [27]. Низкий порог входа по инфраструктуре — один из ключевых аргументов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Face2 собирается вокруг базовой системы КБС, а продажи распадаются на два экономически разных уровня. Уровень 1 — поставка полного программного контура КБС аккредитованной организации-оператору биометрии (банку-партнёру или госструктуре с правом регистрировать векторы в ЕБС) [28; 29]. Уровень 2 — подключение конечного объекта (магазина, турникета, бизнес-центра, спортивной арены, точки продажи алкоголя) к КБС, размещённой у Ак Барс Банка, по транзакционной или абонементной модели без аккредитации заказчика [27; 29]. Состав продуктов и целевые сегменты с разнесением по этим уровням показаны в таблице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продуктов Face2 в разрезе двух уровней продажи и экономики</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13"/>
        <w:gridCol w:w="2141"/>
        <w:gridCol w:w="1998"/>
        <w:gridCol w:w="2141"/>
        <w:gridCol w:w="2141"/>
      </w:tblGrid>
      <w:tr>
        <w:trPr>
          <w:tblHeader/>
          <w:cantSplit/>
        </w:trPr>
        <w:tc>
          <w:tcPr>
            <w:tcW w:w="12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9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Решаемая задача</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Целевые сегменты</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модель</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КБС под ключ оператору биометрии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контур Face2 (КБС API, Face2Pay, liveness, SDK) + интеграции ЕСИА, ЕБС, СМЭВ, КриптоПро DSS</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Передача программного контура аккредитованной организации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Банки/МФО (оператор № 115-ФЗ); госструктуры федер./регион. уровня; крупные корпорации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Крупная сделка длительного цикла: лицензия + развёртывание + SLA. Десятки–сотни млн руб. за сделку</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(биоэквайринг)</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без своей биоинфраструктуры</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транспорт, вендинг, маркетплейсы, киоски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десятки–сотни тыс. руб./мес. с объекта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 без аккредитации заказчика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Заводы, БЦ, вузы, мероприятия, логистика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Лицензия на объект + терминалы + абонементная плата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возраста и личности по вектору ЕБС</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Аэропорты, спортобъекты, гостиницы, продажа алкоголя/рецептур</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или абонементная; точка продаж / зона контроля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разд. «Требования к окружению», «Системные требования», «Варианты развертывания»; 29, разд. «Описание функциональных возможностей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на два уровня показывает, что один и тот же программный фундамент Face2 продаётся в двух экономически разных моделях. Первый уровень даёт банку единичные крупные сделки длительного цикла с аккредитованными контрагентами, второй — массу типовых подключений конечных объектов с быстрой выручкой по транзакционной или абонементной схеме. Это требует разной маркетинговой логики: длинной экспертной коммуникации с аккредитованной организацией на первом уровне и короткой продуктовой коммуникации с конечным объектом на втором.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Внешние партнёрства и пилотные внедрения 2024 года показывают, что Face2 уже вышел за пределы внутреннего контура группы. Помимо упомянутого выше биоэквайринга в Казанском метрополитене, реализован проект «Электронный читательский билет», позволяющий посещать Национальную библиотеку Республики Татарстан по биометрии — причём сдать её можно прямо в мобильном приложении «Карта жителя Республики Татарстан» [26, с. 29]. Совокупность партнёров федерального уровня и социальных сценариев в Татарстане формирует первую референтную базу для масштабирования продукта на другие регионы. Опорной площадкой для отладки остаётся сам банк: сеть из 166 офисов, около пяти тысяч сотрудников и порядка двухсот биотерминалов работают как постоянная внутренняя инсталляция Face2, через которую ведётся учёт рабочего времени; масштаб клиентских внедрений колеблется от 200 до 15 000 биометрических векторов на одну инсталляцию [30, с. 7;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Получившаяся характеристика складывается из двух уровней. На верхнем — крупный региональный банк с рейтингами «A», утверждённой стратегией «эффективность — клиентоцентричность — гибкость», клиентской базой почти в миллион физических лиц и развитой цифровой инфраструктурой. На нижнем — собственный биометрический продукт с государственной аккредитацией, сертификацией ФСБ, отлаженной внутренней инсталляцией, понятной двухуровневой продуктовой линейкой и первой коммерческой референтной базой в проектах с Минцифры, Минтрансом и НСПК. На следующем шаге необходимо проанализировать конкурентное окружение, в котором Face2 выходит на рынок, и определить ограничения, сдерживающие спрос на коммерческую биометрию.</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2.2. Анализ рынка биометрии и конкурентной среды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2.1 описал Face2 как объект продвижения и Ак Барс Банк как разработчика. Настоящий параграф достраивает картину со стороны внешнего контекста: фиксирует масштаб и сегментную структуру российского рынка биометрии, его регуляторно-инфраструктурный контур, выводит сводный PESTEL-анализ макросреды и переходит к анализу пяти сил М. Портера и сравнительной оценке Face2 относительно ключевых конкурентов. Финальная часть формулирует конкурентную позицию Face2, на которую опирается план продвижения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Российская инфраструктура биометрической идентификации прошла путь от запуска Единой биометрической системы Банком России и «Ростелекомом» в первом квартале 2018 года и коммерческого старта удалённой идентификации с 30 июня 2018 года [36] через перевод ЕБС в статус государственной информационной системы в конце 2021 года под управлением АО «Центр биометрических технологий» [32; 37] до вступления в силу 572-ФЗ с 1 января 2023 года, закрепившего обязательное хранение биометрических данных в ГИС ЕБС и аутентификацию только аккредитованными организациями при письменном согласии гражданина [1]. Эта последовательность нормативных и инфраструктурных шагов превратила биометрию из набора пилотных проектов в регулируемую государством рыночную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Современный российский рынок биометрических платежей перешёл в фазу массового коммерческого использования в 2024–2025 годах. По данным Банка России, за первые девять месяцев 2025 года в России совершено 145,9 млн биометрических платежей, что в девять раз больше, чем за аналогичный период 2024 года, а денежный оборот этих платежей вырос почти в пять раз и достиг 112,5 млрд рублей [32]. К началу 2026 года в Единой биометрической системе зарегистрировались более 10 млн пользователей [32]. Эти цифры разворачивают картину рынка, на которую выходит Face2: ёмкое окружение, девятикратный годовой рост числа транзакций, сформированная инфраструктура и аккредитованный круг операторов, в который банк успел войти одним из первых.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Поквартальная статистика Банка России (таблица 2.2.1) разворачивает динамику детальнее. Ключевой вывод сопоставления биоэквайринга с QR-эквайрингом за II квартал 2025 года: биоэквайринг растёт по темпам быстрее (+50% к I кв. 2025 года против +25% у QR), но в 16 раз отстаёт по абсолютному масштабу количества операций (60 млн против 990 млн) [34]. Оба канала встраиваются в общий тренд бесконтактной розницы и делят между собой нишу «оплата без карты», не вытесняя друг друга.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Динамика российского рынка биометрических платежей по данным Банка России и оператора ЕБС</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19"/>
        <w:gridCol w:w="777"/>
        <w:gridCol w:w="777"/>
        <w:gridCol w:w="1709"/>
        <w:gridCol w:w="2953"/>
      </w:tblGrid>
      <w:tr>
        <w:trPr>
          <w:tblHeader/>
          <w:cantSplit/>
        </w:trPr>
        <w:tc>
          <w:tcPr>
            <w:tcW w:w="34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7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2024</w:t>
            </w:r>
          </w:p>
        </w:tc>
        <w:tc>
          <w:tcPr>
            <w:tcW w:w="7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 кв. 2025</w:t>
            </w:r>
          </w:p>
        </w:tc>
        <w:tc>
          <w:tcPr>
            <w:tcW w:w="170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2025</w:t>
            </w:r>
          </w:p>
        </w:tc>
        <w:tc>
          <w:tcPr>
            <w:tcW w:w="29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Темп прироста II кв. 2025 / II кв. 2024</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биометрических платежей,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5,5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40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11 раз</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биометрическим платежам, млрд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30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чек,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774</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стабильно</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QR-операций,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790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QR-операциям, трлн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1,12</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1,3</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Зарегистрированных пользователей в ЕБС,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менее 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10 (на нач. 2026)</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[36;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Соотношение цифр в таблице 2.2.1 показывает, что рост рынка идёт прежде всего по числу транзакций при стабильном среднем чеке около 770 рублей: биометрия закрепляется в сценариях массовых небольших платежей, а не премиальных операций. Это смещает оптимальную стратегию продвижения биометрических продуктов с премиум-позиционирования на массовое использование в высокочастотных сценариях: транспорт, ритейл повседневного спроса, оплата услуг.</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 рынка биометрических платежей в Российской Федерации — ПАО Сбербанк со своим сервисом «Оплата улыбкой»: на август 2024 года — 2 млн биометрических транзакций в месяц, более 700 тыс. установленных терминалов и 30 млн зарегистрированных в собственной биометрической системе банка клиентов [38]. Этот масштаб задаёт верхнюю планку рынка и ориентир для всех остальных игроков.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началу 2026 года биометрические сервисы покрывают шесть устойчивых сегментов российского рынка: государственная идентификация через ЕБС/ЕСИА, финансовый сектор (биоэквайринг и онлайн-обслуживание), транспорт, СКУД режимных объектов, ритейл с возрастной верификацией и гостиничный сегмент [36; 32]. Каждый сегмент закреплён за своим типом заказчика и имеет собственный фактор спроса; их характеристики собраны в таблице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Сегменты применения биометрии на российском рынке и их характеристики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98"/>
        <w:gridCol w:w="2233"/>
        <w:gridCol w:w="2350"/>
        <w:gridCol w:w="3055"/>
      </w:tblGrid>
      <w:tr>
        <w:trPr>
          <w:tblHeader/>
          <w:cantSplit/>
        </w:trPr>
        <w:tc>
          <w:tcPr>
            <w:tcW w:w="19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22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Сценарий</w:t>
            </w:r>
          </w:p>
        </w:tc>
        <w:tc>
          <w:tcPr>
            <w:tcW w:w="23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Заказчик</w:t>
            </w:r>
          </w:p>
        </w:tc>
        <w:tc>
          <w:tcPr>
            <w:tcW w:w="30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Фактор спроса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личности через ЕСИА/ЕБС</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Граждане, госорганизации</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госуслуг, ЕСИА как точка доступа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удалённый счёт, антифрод</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ритейл, маркетплейсы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антифрод, экономия на комиссии</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и оплата проезда; бизнес-залы</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авиакомпании, аэропорты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Массовый высокочастотный сценарий, привычка пассажира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сотрудников, учёт времени</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госучреждения, вузы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точный учёт, исключение передачи карт</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общественные пространства</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Возрастная верификация; биолояльность</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Сетевой ритейл, аптеки, общепит</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требования; разгрузка кассира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доступ в номер</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 апарт-отели, БЦ</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заселения, новый клиентский опыт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30–31; 36;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факторов спроса в таблице 2.2.2 показывает, что один и тот же биометрический продукт продвигается в разных сегментах через разные ключевые сообщения: транзакционная скорость в финансовом и транспортном секторах, безопасность и точность учёта в СКУД, регуляторные требования в ритейле и гостиничном секторе. Для Face2 это уже учтено в продуктовой линейке (Face2Pay для эквайринга, Face2Pass для СКУД, Face2Check-in для гостиничного сегмента и подтверждения возраста, КБС под ключ для крупных заказчиков из государственного и корпоративного сегмента) [27]: каждый продукт линейки соответствует устойчивому рыночному сегменту со сформированным спросом.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Рынок биометрической идентификации в Российской Федерации работает в одном из самых жёстких регуляторных контуров среди мировых юрисдикций. Базой регулирования служит Федеральный закон от 29 декабря 2022 года № 572-ФЗ, относящий биометрические данные к специальной категории персональных данных, обязывающий хранить их в ГИС ЕБС и разрешающий аутентификацию по биометрии только аккредитованным организациям при наличии письменного согласия гражданина [1]. Архитектура работы пользователя с ЕБС строится на связке ЕСИА и ЕБС: первичная регистрация с явкой в уполномоченный банк, последующее использование биометрии через сайты или мобильные приложения подключённых организаций; регистрация для гражданина добровольна и бесплатна, что одновременно расширяет потенциальный круг пользователей и ограничивает массовые инструменты стимулирования сдачи биометрии [36].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ужесточился в конце 2024 года. Федеральные законы от 30 ноября 2024 года № 420-ФЗ и № 421-ФЗ ввели крупные административные штрафы и уголовную ответственность за неправомерное обращение с биометрическими персональными данными: лишение свободы до пяти лет, штрафы до 20 млн рублей и до 1–3% годового дохода компании при повторных нарушениях [27]. Этот сдвиг превратил аккредитацию КБС и сертификацию ФСБ из формального статуса в жёсткий барьер входа на рынок. В сумме 572-ФЗ, законы об ужесточении ответственности от 30.11.2024 и подзаконный блок Банка России образуют пятиуровневую регуляторную конструкцию (федеральный закон, подзаконные акты ЦБ, сертификации ФСБ и ФСТЭК, реестр отечественного ПО, отраслевая аккредитация Минцифры), повышающую капиталоёмкость входа для нового игрока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Круг банков-операторов рынка количественно ограничен: по данным Банка России на 4 мая 2026 года, в перечень банков, имеющих право проводить идентификацию клиента в ЕБС по п. 5.7 ст. 7 № 115-ФЗ, входят 194 кредитные организации; ПАО «АК БАРС» БАНК числится в нём под номером 101 [35]. В сочетании с аккредитацией Минцифры (Решение № 4-А от 15 ноября 2023 года), сертификациями ФСБ и ФСТЭК и присутствием в реестре отечественного ПО это образует регуляторный фундамент, на который опирается весь дальнейший анализ конкурентной среды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Предыдущие три подраздела зафиксировали разные проекции внешней среды: масштаб и динамику рынка, сегментную структуру и регуляторно-инфраструктурный контур. Чтобы перевести эти проекции в управленческий вход для стратегии продвижения, разрозненные факторы целесообразно собрать в единую рамку макроанализа. PESTEL не дублирует регуляторный подраздел: правовое поле в нём представлено сжато и сопоставлено с пятью другими измерениями макросреды, что позволяет оценить относительный вес регуляторных факторов рядом с экономическими, технологическими и социальными — детальный разбор нормативной базы при этом сохраняется в подразделе «Регуляторный и инфраструктурный контур рынка». Методологически выбор PESTEL обусловлен тем, что продукт Face2 одновременно находится на пересечении шести крупных полей — государственного курса на цифровой суверенитет, банковской экономики высокочастотных микроплатежей, поколенческих сдвигов в потребительском поведении, быстро развивающихся алгоритмов компьютерного зрения, ESG-повестки крупного банка и особого режима оборота биометрических персональных данных. Эти шесть полей чисто соотносятся с шестью измерениями PESTEL и позволяют построить однородную карту факторов, влияющих на коммерциализацию Face2. Сводный анализ собран в таблице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PESTEL-анализ российского рынка биометрии (на начало 2026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3855"/>
        <w:gridCol w:w="3855"/>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Фактор</w:t>
            </w:r>
          </w:p>
        </w:tc>
        <w:tc>
          <w:tcPr>
            <w:tcW w:w="3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 — политические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Курс на технологический суверенитет; ЕБС — ГИС под АО «ЦБТ»; Минцифры — регулятор аккредитации КБС; реестр отечественного ПО — условие госзакупок; вытеснение иностранных вендоров после 2022 [27; 1; 36; 37]</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Аккредитация Минцифры (Решение № 4-А от 15.11.2023) и реестр ПО открывают B2G [27]</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экономические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за 9 мес. 2025 (145,9 млн транзакций, 112,5 млрд руб.); средний чек ≈ 770 руб. — массовая розница; пониженная эквайринговая комиссия; финсектор — 15% мирового рынка биометрии при CAGR 18,6% [33; 32; 34]</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динамике. Биоэквайринг выгоден рознице по комиссии; B2B/B2G ориентируются на статус, не на цену</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социальные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привычка платить лицом в метро Москвы и Казани; барьеры доверия — страх утечки, нельзя «отозвать»; поколенческая поляризация [16; 25; 32; 37]</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 привычка к оплате лицом → Face2Pay. «−» барьеры доверия → большая доля бюджета на образовательный контент</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технологические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99,5%, сканирование ≈ 2 с; антиспуфинг и детекция дипфейков; объединение биометрии с QR/СБП; обработка векторов в реальном времени [27; 38; 40; 34]</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зрелости. Зона риска: публично нет независимой верификации (NIST FRTE) и решения по дипфейкам</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экологические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оборота пластиковых карт; безбумажная идентификация; энергоёмкость дата-центров; ESG-повестка [26; 32]</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положительное. ESG АББ снимает барьер B2G; самостоятельного маркетингового плеча нет</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 — правовые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 спецкатегория ПДн в ГИС ЕБС; 420-ФЗ и 421-ФЗ от 30.11.2024 — штрафы до 1–3% дохода, срок до 5 лет; согласие на каждое использование; 194 банка-оператора по № 115-ФЗ; аккредитация Минцифры, ФСБ, ФСТЭК [27; 1; 36; 35]</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 защитный «ров»: КБС + 115-ФЗ + сертификации. «−» исключены B2C-стимулы (кешбэк/промокоды) → только экспертный контент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 25, с. 112; 27; 26, с. 17, 33; 38; 1; 36; 33, с. 3, 6; 35; 40; 32;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шести факторов даёт макрорамку для последующего конкурентного анализа. Три фактора (P, T, L) работают преимущественно в плюс: государственный курс на технологический суверенитет вместе с жёсткой регуляторной рамкой создаёт защищённый рынок аккредитованных операторов, в который Face2 уже встроен, а зрелость алгоритмов обеспечивает технологическую состоятельность продукта. Экономический и социальный факторы (E, S) двойственны: динамика рынка положительна, но ценовое преимущество биоэквайринга вторично для целевого B2B/B2G-сегмента, а массовая привычка к оплате лицом сосуществует с устойчивым психологическим барьером недоверия. Правовой фактор одновременно открывает рынок для аккредитованных игроков и закрывает каналы массового стимулирования (запрет акций по сдаче биометрии, обязательное согласие на каждое использование), переводя продвижение в формат экспертного контента, пилотных проектов и B2B-референсов; экологический фактор работает фоном через ESG-статус банка. Регуляторно-политический фактор работает фильтром входа и оставляет в качестве реальных конкурентов Face2 ограниченный круг аккредитованных операторов и банков-операторов биометрии — состав этого круга и силы, действующие внутри него, разбираются ниже через рамку пяти сил М. Портера.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Российский рынок биометрии организован в три различающихся по типу деятельности слоя. Первый — банки-разработчики собственных биометрических сервисов: ПАО Сбербанк с сервисом «Оплата улыбкой» (СберPay Smile) и ПАО «АК БАРС» БАНК с линейкой Face2; для них биометрия одновременно работает внутренним средством обслуживания и самостоятельным коммерческим продуктом. Второй — технологические вендоры алгоритмов и платформ: VisionLabs (с декабря 2021 года в структуре ПАО МТС) и NtechLab с системой FindFace [40; 32]. Третий — производители полного цикла СКУД, объединяющие в одном предложении ПО, собственное оборудование и сервис: OVISION (Ханты-Мансийск) и BioSmart (Прософт-Биометрикс) [41]. Над этими тремя слоями работает государственная инфраструктура — оператор ЕБС АО «Центр биометрических технологий», обеспечивающий централизованное хранение биометрических векторов и подтверждение личности [36; 32]. Каждый слой отвечает на свой тип спроса и предъявляет свой набор аккредитаций, поэтому Face2 не пересекается с лидерами других слоёв напрямую: со Сбером — по объёму массового B2C-биоэквайринга, с VisionLabs — по горизонтальным алгоритмическим платформам, с OVISION — по аппаратному стеку.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оценить, насколько привлекателен этот рынок для Face2 и какие силы определяют интенсивность конкуренции внутри него, многослойная карта дополняется рамкой пяти конкурентных сил М. Портера. Согласно его методике, средний уровень прибыльности отрасли и устойчивость позиции отдельной фирмы определяются балансом пяти структурных факторов: угрозы со стороны новых участников, рыночной силы поставщиков, рыночной силы покупателей, угрозы товаров-заменителей и интенсивности соперничества между действующими конкурентами [11, с. 39]. Сводная оценка приведена в таблице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Анализ пяти конкурентных сил М. Портера на российском рынке биометрии применительно к продукту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1499"/>
        <w:gridCol w:w="3212"/>
        <w:gridCol w:w="3212"/>
      </w:tblGrid>
      <w:tr>
        <w:trPr>
          <w:tblHeader/>
          <w:cantSplit/>
        </w:trPr>
        <w:tc>
          <w:tcPr>
            <w:tcW w:w="17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Сила</w:t>
            </w:r>
          </w:p>
        </w:tc>
        <w:tc>
          <w:tcPr>
            <w:tcW w:w="14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321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Ключевые факторы</w:t>
            </w:r>
          </w:p>
        </w:tc>
        <w:tc>
          <w:tcPr>
            <w:tcW w:w="321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Угроза новых участников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КБС, оператор № 115-ФЗ; ФСБ, ФСТЭК, реестр ПО; Указание ЦБ № 6541-У; МР № 18-МР, № 19-МР [27; 1; 35; 2; 3; 4]; ужесточение по 420/421-ФЗ от 30.11.2024; высокая капиталоёмкость алгоритмов</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Защищает позицию: набор статусов (№ 4-А от 15.11.2023, № 101 в перечне 115-ФЗ, ФСБ, ФСТЭК) недоступен новичкам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Сила поставщиков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Производители биотерминалов; внешние алгоритмические вендоры; АО «ЦБТ» — монополист хранения векторов в ЕБС; тарифы и регламент по 572-ФЗ [36; 37; 1]</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Смешанная: свои алгоритмы (99,5%) снимают зависимость от VisionLabs/NtechLab; зависимость от партнёра по терминалам и от ЦБТ сохраняется [27; 41; 37]</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Сила покупателей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B2B/B2G — крупные концентрированные заказчики; низкие издержки переключения в технологическом слое; высокие — в нише «банк + ЕБС»</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технологическом слое — конкуренция с VisionLabs и OVISION; в нише «банк + ЕБС» — узкий круг банков-операторов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Угроза заменителей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NFC, QR, push, SMS-OTP, голосовая биометрия; II кв. 2025: QR ≈ 990 млн vs биометрия ≈ 60 млн (×16); рост биометрии быстрее (+50% vs +25%) [34]; в СКУД — карточки и мобильные ключи</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регулируемых сценариях (счёт, возраст, транспорт) субституты ограничены законом; в эквайринге QR доминирует, но не вытесняет биометрию [32; 34]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Внутриотраслевая конкуренция</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700+ тыс. терминалов, 30 млн зарегистрированных, 116 млрд руб. за 2025; VisionLabs: 1,7 млн камер, 38 стран; OVISION: OGATE + референсы РЖД, Мосэнергосбыт; +9× платежей и +5× оборота смягчает ценовую конкуренцию [38; 40; 41; 32]</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Прямой конкуренции мало: нет пересечений со Сбером по объёму, с VisionLabs по верификации, с OVISION по аппарату. Конкуренция на узком стыке — B2B/B2G через ЕБС в банковской экосистеме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[11, с. 39; 27; 26, с. 17, 30–31, 33; 38; 1; 36; 35; 40; 32; 41;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таблицы 2.2.4 складывается единая структурная картина. Угроза новых участников и рыночная сила поставщиков (в части алгоритмов) оказывают на Face2 ослабленное давление: жёсткая регуляторная рамка отсекает несертифицированных игроков, а собственная алгоритмическая база банка снимает зависимость от внешних вендоров [27; 1; 35]. Сила покупателей и угроза заменителей расщепляются по сегментам — высоки в технологическом слое и снижаются в нише «банк + ЕБС» из-за недоступности эквивалентов у вендоров [32; 34]. Внутриотраслевая конкуренция остаётся средне-высокой, но смягчается многослойностью рынка и кратным ростом спроса, позволяющим нескольким игрокам одновременно расширять долю без прямого вытеснения [38; 40; 32; 41]. Совокупно российский рынок биометрии относится к структурно привлекательным отраслям с высокими барьерами входа и умеренной интенсивностью соперничества внутри отдельных слоёв; стратегия продвижения Face2 рационально опирается на регуляторный капитал и банковскую экосистему, а две силы определяют задачи главы 3: необходимость партнёрского или собственного аппаратного стека и бесперспективность конкуренции с QR-эквайрингом по числу операций.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Сравнительный анализ строится по семи параметрам, существенным для выбора биометрического решения корпоративным и розничным заказчиком: тип игрока, продуктовая линейка по форм-факторам и сценариям, формальные регуляторные статусы, независимая верификация точности, географический охват, типовая бизнес-модель и наличие банковской/инфраструктурной экосистемы. Результаты сравнения вынесены в приложение 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приведённое в приложении А, фиксирует четыре чётко различимые позиции на рынке. Сбер закрывает массовый B2C-биоэквайринг масштабом и инфраструктурой; VisionLabs закрывает технологический слой и сильнее всех по независимой верификации точности через NIST FRTE и iBeta; OVISION закрывает рынок полного цикла СКУД (собственное оборудование плюс программное ядро плюс полный набор регуляторных статусов) и силён в государственном сегменте за счёт референсов федерального уровня (РЖД, Мосэнергосбыт, Правительство Тульской области). Face2 не конкурирует с этими тремя игроками напрямую, а занимает четвёртую позицию — банковский сервисный игрок с правом регистрации биометрических данных граждан в ЕБС через статус по № 115-ФЗ и с продуктовой линейкой, выстроенной не по форм-факторам, а по банковским сценариям.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Конкурентные преимущества Face2 складываются из пяти позиций: (1) статус банка-оператора по № 115-ФЗ с правом регистрации биометрических векторов граждан в ЕБС, недоступный технологическим вендорам и производителям СКУД; (2) аккредитация Минцифры как оператора КБС (Решение № 4-А от 15 ноября 2023 года), особенно ценная после ужесточения ответственности по 420-ФЗ и 421-ФЗ [27]; (3) институциональный стаж работы с ЕБС с июля 2018 года и положение первого банка ПФО, подключённого к этой инфраструктуре, снимающий риск восприятия Face2 как «нового и непроверенного» сервиса [39]; (4) банковская экосистема (934 тыс. розничных и 33,9 тыс. корпоративных клиентов, 930 тыс. в АБО, 450 тыс. Карт жителя РТ, рейтинги «A» и подтверждённый ESG-статус) [26, с. 17, 33]; (5) продуктовая вертикаль под банковский сценарий, закрывающая оплату, проход и подтверждение возраста внутри одной экосистемы клиента, что отличает Face2 от горизонтальных платформ технологических вендоров.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Пробелы — четыре: (1) публично не зафиксированная независимая международная верификация точности (NIST FRTE, iBeta, CVPR), на которой VisionLabs строит значимую часть позиционирования [40]; (2) отсутствие собственного производства биометрических терминалов и частичная зависимость от партнёрского оборудования при том, что OVISION предлагает полный аппаратный стек одного производителя со всеми статусами (Минпромторг, реестр радиоэлектронной продукции, СКЗИ) [41]; (3) локальный масштаб — ядро коммерческой базы Face2 в Татарстане при федеральном охвате Сбера и международном — VisionLabs (38 стран); (4) в публичной линейке Face2 не зафиксировано отдельное решение по детекции дипфейков, представленное у VisionLabs (Deepfake Detection), у OVISION (антиспуфинг и детекция дипфейков) и в виде многоконтурной защиты у Сбера [38;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Сравнительная матрица в приложении А фиксирует, по каким параметрам игроки различаются, но не отвечает на вопрос, какие из этих параметров критичны для победы в отрасли, а какие — второстепенны. Этот разрыв снимается через ключевые факторы успеха (КФУ) — управляемые ресурсы и характеристики продукта, владение которыми обеспечивает устойчивое конкурентное преимущество и без которых даже технологически сильное решение не выходит на коммерческий контур заказчика [11, с. 39; 25, с. 112]. На основании трёх рамок предыдущих подразделов (регуляторного контура, PESTEL-анализа и пяти сил Портера) и сравнительной матрицы выделяются восемь КФУ российского рынка биометрии: регуляторно-правовой капитал, технологическая зрелость алгоритмов, доказательная база точности, продуктовая полнота под B2B/B2G, географический охват и референсная база, экосистемная интеграция, контроль аппаратного стека и антифрод-функциональность. Эти восемь факторов одновременно служат критериями балльной оценки в таблице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КФУ не равноправны: для типового заказчика биометрии регуляторный статус важнее аппаратного стека, а банковская экосистема — важнее географии присутствия вендора. Восемь критериев переведены в шкалу от 1 до 5 баллов: 5 — лидерство, подтверждённое внешними источниками; 4 — устойчивая позиция с публично заявленными подтверждениями; 3 — позиция выше средней без независимой верификации; 2 — отдельные элементы реализованы, но не образуют системы; 1 — параметр публично не подтверждён. Веса критериев настроены под целевой сегмент Face2 — заказчиков B2B и B2G со сценариями работы с физическими лицами через ЕБС внутри банковской экосистемы: регуляторный статус и банковская экосистема выходят на первый план (вес 0,30 и 0,25), а второстепенные для этого сегмента критерии — географический охват, собственный аппаратный стек, заявленные технические характеристики и независимая верификация точности — понижаются до 0,05. Взвешенный итоговый балл каждого игрока рассчитывается по формуле (2.2.1):</w:t>
      </w:r>
    </w:p>
    <w:p>
      <w:pPr>
        <w:tabs>
          <w:tab w:val="center" w:pos="4819"/>
          <w:tab w:val="right" w:pos="9638"/>
        </w:tabs>
        <w:spacing w:before="120" w:after="120" w:line="360" w:lineRule="auto"/>
        <w:jc w:val="left"/>
        <w:rPr>
          <w:rFonts w:ascii="Times New Roman" w:hAnsi="Times New Roman" w:cs="Times New Roman" w:eastAsia="Times New Roman"/>
          <w:sz w:val="28"/>
          <w:szCs w:val="28"/>
          <w:lang w:val="ru-RU"/>
        </w:rPr>
      </w:pPr>
      <w:r>
        <w:tab/>
      </w:r>
      <w:r>
        <w:rPr>
          <w:rFonts w:ascii="Times New Roman" w:hAnsi="Times New Roman" w:cs="Times New Roman" w:eastAsia="Times New Roman"/>
          <w:i/>
          <w:iCs/>
          <w:color w:val="000000"/>
          <w:sz w:val="28"/>
          <w:szCs w:val="28"/>
          <w:lang w:val="ru-RU"/>
        </w:rPr>
        <w:t xml:space="preserve">S = Σ (w</w:t>
      </w:r>
      <w:r>
        <w:rPr>
          <w:rFonts w:ascii="Times New Roman" w:hAnsi="Times New Roman" w:cs="Times New Roman" w:eastAsia="Times New Roman"/>
          <w:i/>
          <w:iCs/>
          <w:color w:val="000000"/>
          <w:sz w:val="28"/>
          <w:szCs w:val="28"/>
          <w:vertAlign w:val="subscript"/>
          <w:lang w:val="ru-RU"/>
        </w:rPr>
        <w:t xml:space="preserve">i</w:t>
      </w:r>
      <w:r>
        <w:rPr>
          <w:rFonts w:ascii="Times New Roman" w:hAnsi="Times New Roman" w:cs="Times New Roman" w:eastAsia="Times New Roman"/>
          <w:i/>
          <w:iCs/>
          <w:color w:val="000000"/>
          <w:sz w:val="28"/>
          <w:szCs w:val="28"/>
          <w:lang w:val="ru-RU"/>
        </w:rPr>
        <w:t xml:space="preserve"> × b</w:t>
      </w:r>
      <w:r>
        <w:rPr>
          <w:rFonts w:ascii="Times New Roman" w:hAnsi="Times New Roman" w:cs="Times New Roman" w:eastAsia="Times New Roman"/>
          <w:i/>
          <w:iCs/>
          <w:color w:val="000000"/>
          <w:sz w:val="28"/>
          <w:szCs w:val="28"/>
          <w:vertAlign w:val="subscript"/>
          <w:lang w:val="ru-RU"/>
        </w:rPr>
        <w:t xml:space="preserve">i</w:t>
      </w:r>
      <w:r>
        <w:rPr>
          <w:rFonts w:ascii="Times New Roman" w:hAnsi="Times New Roman" w:cs="Times New Roman" w:eastAsia="Times New Roman"/>
          <w:i/>
          <w:iCs/>
          <w:color w:val="000000"/>
          <w:sz w:val="28"/>
          <w:szCs w:val="28"/>
          <w:lang w:val="ru-RU"/>
        </w:rPr>
        <w:t xml:space="preserve">)</w:t>
      </w:r>
      <w:r>
        <w:tab/>
      </w:r>
      <w:r>
        <w:rPr>
          <w:rFonts w:ascii="Times New Roman" w:hAnsi="Times New Roman" w:cs="Times New Roman" w:eastAsia="Times New Roman"/>
          <w:color w:val="000000"/>
          <w:sz w:val="28"/>
          <w:szCs w:val="28"/>
          <w:lang w:val="ru-RU"/>
        </w:rPr>
        <w:t xml:space="preserve">(2.2.1)</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где </w:t>
      </w:r>
      <w:r>
        <w:rPr>
          <w:rFonts w:ascii="Times New Roman" w:hAnsi="Times New Roman" w:cs="Times New Roman" w:eastAsia="Times New Roman"/>
          <w:color w:val="000000"/>
          <w:sz w:val="28"/>
          <w:szCs w:val="28"/>
          <w:lang w:val="ru-RU"/>
        </w:rPr>
        <w:t xml:space="preserve">S — взвешенный итоговый балл игрока (от 1 до 5);</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w:t>
      </w:r>
      <w:r>
        <w:rPr>
          <w:rFonts w:ascii="Times New Roman" w:hAnsi="Times New Roman" w:cs="Times New Roman" w:eastAsia="Times New Roman"/>
          <w:color w:val="000000"/>
          <w:sz w:val="28"/>
          <w:szCs w:val="28"/>
          <w:vertAlign w:val="subscript"/>
          <w:lang w:val="ru-RU"/>
        </w:rPr>
        <w:t xml:space="preserve">i</w:t>
      </w:r>
      <w:r>
        <w:rPr>
          <w:rFonts w:ascii="Times New Roman" w:hAnsi="Times New Roman" w:cs="Times New Roman" w:eastAsia="Times New Roman"/>
          <w:color w:val="000000"/>
          <w:sz w:val="28"/>
          <w:szCs w:val="28"/>
          <w:lang w:val="ru-RU"/>
        </w:rPr>
        <w:t xml:space="preserve"> — вес i-го критерия (КФУ), Σ w</w:t>
      </w:r>
      <w:r>
        <w:rPr>
          <w:rFonts w:ascii="Times New Roman" w:hAnsi="Times New Roman" w:cs="Times New Roman" w:eastAsia="Times New Roman"/>
          <w:color w:val="000000"/>
          <w:sz w:val="28"/>
          <w:szCs w:val="28"/>
          <w:vertAlign w:val="subscript"/>
          <w:lang w:val="ru-RU"/>
        </w:rPr>
        <w:t xml:space="preserve">i</w:t>
      </w:r>
      <w:r>
        <w:rPr>
          <w:rFonts w:ascii="Times New Roman" w:hAnsi="Times New Roman" w:cs="Times New Roman" w:eastAsia="Times New Roman"/>
          <w:color w:val="000000"/>
          <w:sz w:val="28"/>
          <w:szCs w:val="28"/>
          <w:lang w:val="ru-RU"/>
        </w:rPr>
        <w:t xml:space="preserve"> = 1;</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b</w:t>
      </w:r>
      <w:r>
        <w:rPr>
          <w:rFonts w:ascii="Times New Roman" w:hAnsi="Times New Roman" w:cs="Times New Roman" w:eastAsia="Times New Roman"/>
          <w:color w:val="000000"/>
          <w:sz w:val="28"/>
          <w:szCs w:val="28"/>
          <w:vertAlign w:val="subscript"/>
          <w:lang w:val="ru-RU"/>
        </w:rPr>
        <w:t xml:space="preserve">i</w:t>
      </w:r>
      <w:r>
        <w:rPr>
          <w:rFonts w:ascii="Times New Roman" w:hAnsi="Times New Roman" w:cs="Times New Roman" w:eastAsia="Times New Roman"/>
          <w:color w:val="000000"/>
          <w:sz w:val="28"/>
          <w:szCs w:val="28"/>
          <w:lang w:val="ru-RU"/>
        </w:rPr>
        <w:t xml:space="preserve"> — балл игрока по i-му критерию (от 1 до 5);</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i — номер критерия, i = 1, …, 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Результаты применения формулы (2.2.1) к восьми критериям приведены в таблице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Балльная экспертная оценка под целевой сегмент Face2 — B2B и B2G-заказчики со сценариями работы с физическими лицами через ЕБС в банковской экосистеме</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7"/>
        <w:gridCol w:w="4046"/>
        <w:gridCol w:w="1348"/>
        <w:gridCol w:w="674"/>
        <w:gridCol w:w="637"/>
        <w:gridCol w:w="1348"/>
        <w:gridCol w:w="944"/>
      </w:tblGrid>
      <w:tr>
        <w:trPr>
          <w:tblHeader/>
          <w:cantSplit/>
        </w:trPr>
        <w:tc>
          <w:tcPr>
            <w:tcW w:w="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404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 (КФУ)</w:t>
            </w:r>
          </w:p>
        </w:tc>
        <w:tc>
          <w:tcPr>
            <w:tcW w:w="13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вес</w:t>
            </w:r>
          </w:p>
        </w:tc>
        <w:tc>
          <w:tcPr>
            <w:tcW w:w="67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w:t>
            </w:r>
          </w:p>
        </w:tc>
        <w:tc>
          <w:tcPr>
            <w:tcW w:w="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13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94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статус: аккредитация КБС, статус оператора биометрии, право регистрации в ЕБС</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0,30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точность и скорость распознавания</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под B2B и B2G сценарии</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и инфраструктурная экосистема</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0,25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Собственный аппаратный стек</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 детекция дипфейков, антиспуфинг</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Взвешенный итоговый балл</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3,50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оценки автора по данным [11, с. 39; 25, с. 112;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Лидерство по целевому сегменту удерживает Сбер за счёт федерального охвата и многоконтурной антифрод-защиты [38]. Face2 разделяет вторую позицию с VisionLabs, опережая OVISION на 0,60 балла за счёт регуляторного статуса банка-оператора биометрии и собственной банковской экосистемы [27; 26, с. 17, 33; 35]. Балльный расчёт подтверждает качественный вывод параграфа: Face2 не претендует на универсальное лидерство, но входит в группу лидеров своего целевого сегмента — B2B и B2G-заказчиков со смешанными сценариями платежей, прохода и подтверждения возраста на биометрии физических лиц через ЕБС. Результат чувствителен к выбору весов: при равных весах (по 0,125 на каждый критерий) первое место занимает VisionLabs (≈ 4,38) за счёт независимой верификации точности и антифрод-функциональности, второе — Сбер и OVISION (≈ 3,75), Face2 опускается на четвёртую позицию (≈ 3,38). Использованная в таблице 2.2.5 шкала весов настроена под целевой сегмент Face2 (B2B/B2G со сценариями работы с физическими лицами через ЕБС в банковской экосистеме) и измеряет соответствие игрока сегменту, а не универсальную «силу» решения; для других сегментов рынка ранжирование изменится.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Жёсткая регуляторная рамка 572-ФЗ и закона № 115-ФЗ ограничивает круг операторов биометрии до организаций, аккредитованных Минцифры, и до банков, имеющих право регистрации векторов в ЕБС [1; 27; 35]; именно внутри этого ограниченного поля и формируется собственный конкурентный сегмент Face2 — B2B и B2G-заказчики со сценариями, где одновременно нужны работа с физическими лицами через ЕБС, банковская инфраструктура и продуктовая линейка под платежи, проход и подтверждение возраста. Face2 не конкурирует со Сбером по объёму, с VisionLabs — по верификации алгоритмов и международному охвату, с OVISION — по аппаратному стеку, но в собственном сегменте получает уникальную для рынка комбинацию преимуществ: статус оператора по № 115-ФЗ под № 101 в перечне Банка России, аккредитацию КБС № 4-А от 15.11.2023, шестилетний стаж работы с ЕБС, банковскую экосистему и первую референтную базу федерального уровня в проектах с Минцифры, Минтрансом, ЦБТ и НСПК [27; 26, с. 4, 17, 30–31, 33; 35]. Ограничения позиции — локальный географический охват и публично не зафиксированные независимая верификация точности и отдельное решение по детекции дипфейков. Факторы спроса работают в пользу Face2 одновременно: ужесточение ответственности по 420-ФЗ и 421-ФЗ вытесняет неаккредитованные локальные решения, а девятикратный годовой рост биометрических платежей и 10+ млн зарегистрированных в ЕБС создают эффект повседневности и снимают часть барьера доверия [27; 32]. Из этого следует задача для главы 3: анализ должен сосредоточиться не на технологических доработках, а на маркетинговых инструментах: насколько текущее продвижение продукта соответствует уже занятой банком конкурентной нише, какие каналы коммуникации задействованы и где находятся пробелы относительно сильных сторон, выявленных выше. Этому посвящён параграф 2.3.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2.3. Анализ текущего продвижения продукта и его позиции на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Продуктовая линейка Face2, описанная в параграфе 2.1, формирует адресный набор сегментов: каждое из четырёх продуктов закрывает собственный тип заказчика и сценарий использования. На уровне коммуникации между заявленным продуктовым сегментом и реальной публичной активностью банка возможен зазор — продукт может быть выведен на рынок продуктово, но не выведен коммуникативно. Сопоставление шести сегментов рынка из таблицы 2.2.2 с тем, как они отыграны в публичных коммуникациях Face2, дано в таблице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Сегментная карта продвижения Face2: продуктовая декларация и реальная коммуникативная активность</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40"/>
        <w:gridCol w:w="1586"/>
        <w:gridCol w:w="3660"/>
        <w:gridCol w:w="1952"/>
      </w:tblGrid>
      <w:tr>
        <w:trPr>
          <w:tblHeader/>
          <w:cantSplit/>
        </w:trPr>
        <w:tc>
          <w:tcPr>
            <w:tcW w:w="24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 рынка (по 2.2.2)</w:t>
            </w:r>
          </w:p>
        </w:tc>
        <w:tc>
          <w:tcPr>
            <w:tcW w:w="158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366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Реальная активность Face2</w:t>
            </w:r>
          </w:p>
        </w:tc>
        <w:tc>
          <w:tcPr>
            <w:tcW w:w="19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B2C-биоэквайринг</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биометрией в АБО</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продукт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B2B (КБС банкам/МФО)</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линейке; публичных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в Казанском метро (Минцифры, Минтранс, ЦБТ, НСПК)</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 / B2G</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450 131 карта на 01.01.2025; биометрия в приложении</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внутренний контур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Terminal</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 внешние внедрения 200/500/5 000/15 000 векторов</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Производственный кейс</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внешние коммерческие</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конкретных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 возрастная верификация</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 в 2025;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Гостиничный сектор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заселение без паспорта;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Социально-культурный</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Электронный читательский билет в Нацбиблиотеке РТ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на POS</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Запущен пилот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2.3.1 показывает, что из шести сегментов рынка коммуникативно активно охвачены четыре — финансовый, транспортный, государственный (через социальную инфраструктуру РТ) и СКУД (через внутреннее внедрение в банке). Сегменты «гостиничный» и «возрастная верификация в ритейле» заявлены в продуктовой линейке, но публичные референсные кейсы по ним отсутствуют. Это первый зафиксированный пробел продвижения — сегментный.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Таргетинг продвижения сосредоточен по двум осям. Географическая ось — Республика Татарстан плюс точечные федеральные пилоты в связке с Минцифры РФ, Минтрансом РФ, Центром биометрических технологий и Национальной системой платёжных карт [26, с. 30–31]. По оси типа заказчика основные ресурсы направлены на B2B и B2G, а массовый B2C-сегмент охвачен только через банковскую экосистему в пределах Татарстана — мобильное приложение АБО, приложение «Карта жителя РТ» и портал государственных услуг РТ через СБП (количественные показатели приведены в параграфе 2.1) [26, с. 17, 28–29, 33]. Эта концентрация одновременно использует региональное преимущество и ограничивает рыночный охват за пределами региона.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в открытых коммуникациях опирается на четыре содержательных оси: регуляторный статус (оператор КБС с аккредитацией Минцифры решением № 4-А от 15.11.2023, сертификация ФСБ и ФСТЭК, реестр отечественного ПО), архитектурная безопасность (хранение биометрических векторов в ГИС ЕБС, опора на государственную инфраструктуру), технологичность (заявленная точность 99,5%, время сканирования около двух секунд) и противопоставление локальным биометриям, нарушающим 572-ФЗ [27]. Дополнительная опорная ось — ассоциация с банковской инфраструктурой АББ: рейтинги «A» по национальной шкале, ESG-A, статус оператора по № 115-ФЗ под номером 101 в перечне Банка России [26, с. 4; 35]. Содержательно это позиционирование точно соответствует конкурентной нише, выявленной в параграфе 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Однако исходная маркетинговая гипотеза, на которой строилось продвижение, — гипотеза органического спроса 2018 года, рассчитывавшая на «рост интереса по мере планомерного перевода государственных услуг в систему ЕСИА» [39], — рынком 2025 года уже не подтверждается. Девятикратный рост числа биометрических платежей за 9 месяцев 2025 года к аналогичному периоду 2024 года, оборот 112,5 млрд рублей и более 10 млн пользователей ЕБС [32] показывают, что рынок перешёл в фазу зрелого спроса с активной конкурентной борьбой за долю, и пассивная стратегия органического притяжения проигрывает активной стратегии Сбера с парком в 700 тыс. терминалов и оборотом 116 млрд рублей за 2025 год [38]. Несоответствие между фазой рынка и исходной маркетинговой гипотезой банка — фундаментальная характеристика текущего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Сетка каналов из таблицы 1.2.5 в параграфе 1.3 переконфигурирована для биометрии: вес массовой рекламы снижен, удельный вес образовательно-демонстрационных и экспертных форматов повышен, push в B2B/B2G сочетается с pull в B2C при первичности push. Инвентаризация каналов Face2 по этой сетке дана в таблице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Инвентаризация каналов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89"/>
        <w:gridCol w:w="2980"/>
        <w:gridCol w:w="2980"/>
        <w:gridCol w:w="1987"/>
      </w:tblGrid>
      <w:tr>
        <w:trPr>
          <w:tblHeader/>
          <w:cantSplit/>
        </w:trPr>
        <w:tc>
          <w:tcPr>
            <w:tcW w:w="168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 из 1.2.5</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Реализация</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Метрика / факт</w:t>
            </w:r>
          </w:p>
        </w:tc>
        <w:tc>
          <w:tcPr>
            <w:tcW w:w="19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банка как «послы»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Сотрудники-пользователи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200 биотерминалов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Партнёры федерального уровня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 Минтранс + ЦБТ + НСПК; «Соцкарта» по Карте жителя РТ; Ростелеком (ЕБС с 2018)</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в Казанском метро; 450 131 действующая Карта жителя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в метро, Нацбиблиотеке РТ; СБП на POS, оплата в АБО, заселение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терминалов в офисах как демосеть</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в АБО; сдача биометрии в «Карте жителя РТ»; портал госуслуг РТ через СБП</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 тыс. в АБО; 12 млн транзакций за 2024; 1,2 млн через СБП на госуслугах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Face2 как функционал, не бренд</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face2.ru и сайт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Сайт-визитка; контакт продаж — Салахов А. 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форм заявки, ROI-калькулятора, витрины кейсов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(B2B/B2G)</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контактный менеджер</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не утилизирует входящий интерес</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в деловых СМИ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релизы, преимущественно в РТ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материал федерального уровня — TAdviser (10.07.2018) [39]</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заявлено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Публичной программы выступлений по Face2 не зафиксировано</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под брендом Face2</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Отдельных сообществ нет; идёт «внутри» аккаунтов АББ</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АББ — для обращений розницы</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и эксперты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Точечно в корпматериалах; систематической рубрики нет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Сравнение: VisionLabs ведёт Habr [40], OVISION публикует кейсы [41]</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показывает, что у Face2 три канала развиты сильно, четыре — на среднем уровне, два — слабо или отсутствуют. Сильное прямое продвижение (push) образуют внутреннее продвижение через сотрудников банка (5 000+ сотрудников × 200 биотерминалов как естественный «полигон» отладки клиентского опыта и сообщество ранних последователей), партнёрские каналы федерального уровня (одновременная связка с Минцифры, Минтрансом, ЦБТ и НСПК в одном проекте не имеет публично подтверждённых аналогов на рынке [40; 41]) и демонстрационные каналы внутри Татарстана.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Средняя группа каналов работает, но с интенсивностью значительно ниже, чем у конкурентов: канал прямых продаж замкнут на одного контактного менеджера [27] и не утилизирует входящий интерес, сайт face2.ru представляет продукт, но автоматическая лидогенерация (форма заявки, ROI-калькулятор, чат-бот) и публичная витрина коммерческих кейсов в открытых данных не зафиксированы. Третья группа — отсутствие отдельного бренда Face2 в социальных сетях и фрагментарность экспертного контента: работа с соцсетями описана в годовом отчёте 2024 года как канал работы с обращениями розничных клиентов в целом по банку [26, с. 33], систематических активностей под брендом Face2 публично не зафиксировано, тогда как у VisionLabs ведётся корпоративный блог на Habr [40], OVISION публикует кейсы внедрений [41], а Сбер транслирует свою биометрию в массовых СМИ как «оплата улыбкой»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вывод инвентаризации каналов: коммуникационная архитектура Face2 асимметрична — push-каналы (B2B/B2G, партнёрства, пилоты) работают сильно, pull-каналы (массовые СМИ за пределами Татарстана, отдельный бренд в социальных сетях, экспертный контент) фрагментарны. Эта асимметрия зеркально соответствует выводу параграфа 2.2 о локальном масштабе коммерческого присутствия: маркетинговая активность банка отражает географическую структуру его операций, а не потенциал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Конфигурация 7P для биометрии (параграф 1.3) ставит в центр элементы People, Process и Physical evidence: именно через них продвижение преодолевает психологический и регуляторно-репутационный барьеры аудитории, тогда как Promotion и Price в классической трактовке играют второстепенную роль. Сопоставление этой конфигурации с реальной практикой Face2 дано в таблице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Реализация комплекса маркетинга 7P в продвижении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13"/>
        <w:gridCol w:w="2637"/>
        <w:gridCol w:w="3043"/>
        <w:gridCol w:w="3043"/>
      </w:tblGrid>
      <w:tr>
        <w:trPr>
          <w:tblHeader/>
          <w:cantSplit/>
        </w:trPr>
        <w:tc>
          <w:tcPr>
            <w:tcW w:w="9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должно быть для биометрии (по 1.3)</w:t>
            </w:r>
          </w:p>
        </w:tc>
        <w:tc>
          <w:tcPr>
            <w:tcW w:w="30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 Face2</w:t>
            </w:r>
          </w:p>
        </w:tc>
        <w:tc>
          <w:tcPr>
            <w:tcW w:w="30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 пробел</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Вертикаль под банковский сценарий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 Terminal, Face2Check-in, КБС под ключ; видеоаналитика (драки, упавшие, оружие, автономера, подсчёт людей)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нет публичного решения по дипфейкам — у конкурентов антифрод в коммуникации [38; 40; 41]</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Прозрачные условия для B2B</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Цена не раскрыта; ROI-калькулятора нет</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 + интеграция в инфраструктуру</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витрины кейсов вне РТ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 экспертные публикации, демо</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релизы, демозоны в офисах</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регулярной подготовки контента</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эксперты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контакт продаж (Салахов А. А.) [27]; в TAdviser 2018 — Д. Галиев [39]</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нет линейки спикеров (CISO, юрист 572-ФЗ, продакт)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пользовательский путь</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шага: «Госуслуги Биометрия» → упрощ. биометрия → согласие на КБС АББ → проход/оплата</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содержательно, но узко — не упакован для массовой аудитории</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кейсы, верификация</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аккредитация Минцифры (№ 4-А от 15.11.2023), ФСБ, ФСТЭК, реестр ПО, № 115-ФЗ (№ 101), ЕБС с 10.07.2018, рейтинги «A», ESG-A</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по формальным признакам; нет независимой верификации точности (NIST FRTE, iBeta, CVPR), которой пользуется VisionLabs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2.3.3 показывает, что Physical evidence — самый сильный элемент комплекса маркетинга Face2 по всем формальным признакам: полный набор регуляторных статусов (КБС, ФСБ, ФСТЭК, реестр отечественного ПО, оператор биометрии под № 101 в перечне Банка России [35], шестилетний стаж в ЕБС с 10 июля 2018 года [39]) выводит Face2 в группу из менее чем двухсот банков страны, имеющих все необходимые формальные статусы для работы с биометрией физических лиц. Однако этот регуляторный капитал транслируется языком, понятным специалистам по информационной безопасности и юристам, а не массовой аудитории, и поэтому не конвертируется в массовое сообщение «доверие» — это контентный пробел, второй после сегментного.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Остальные элементы 7P формируют ещё три пробела. People: один публичный контакт продаж [27] вместо линейки экспертных спикеров (CISO, юрист по 572-ФЗ, продакт-менеджер, разработка), которая у VisionLabs работает через корпоративный блог на Habr и публичные выступления топ-менеджмента [40]. Process: четырёхшаговый пользовательский путь подключения проработан содержательно, но описан в корпоративных материалах [27] и не упакован в массовое объяснение для внешнего читателя; B2B-заказчик получает требования к инфраструктуре, но не наглядный бизнес-кейс с расчётом окупаемости. Доказательный пробел в Product: в открытой линейке Face2 нет отдельного решения по детекции дипфейков, тогда как у VisionLabs существует продукт Deepfake Detection, у OVISION антиспуфинг и детекция дипфейков встроены в СКУД-комплекты, у Сбера действует многоконтурная защита liveness + AI-фрод + ПИН [38; 40; 41]; к этому добавляется публично не зафиксированная независимая международная верификация точности (NIST FRTE, iBeta, CVPR), отдельно отмеченная в параграфе 2.2. Promotion реализуется через точечные релизы без регулярной подготовки контента, Price публично не раскрывается совсем.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Эталонная воронка биометрии в банковском секторе, выведенная в параграфе 1.3, имеет специфическую форму: между этапами «Интерес» и «Пробное использование» встроен длинный этап «Доверие», и именно на нём концентрируется основная часть коммуникационных усилий до этапа массового принятия. Сопоставление эталонной воронки с фактической раскладкой активностей Face2 показывает асимметрию противоположного характера, чем у эталонной модели. У эталонной воронки этап «Доверие» расширен по сравнению с традиционным товаром, но расширен равномерно — чтобы перевести в пробное использование как можно большую долю аудитории, проявившей интерес. У Face2 этап «Доверие» содержательно сильный, но узкий: его пропускная способность ограничена тем, что доказательная база подаётся языком, понятным специалистам, и не достигает массового пользователя. Этап «Пробное использование» сильный для B2B и для жителей Татарстана (внутренняя инсталляция, демозоны, региональные пилоты), но фактически нулевой для всех остальных регионов — получить пользовательский опыт Face2 за пределами РТ практически негде. Этапы «Осведомлённость» и «Лояльность» работают слабо: первый — из-за фрагментарности pull-каналов, второй — из-за отсутствия системной программы работы с референс-клиентами, NPS и кейс-стади. Графически распределение активностей Face2 по этапам воронки в сопоставлении с эталонной формой представлено на рисунке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2.3.1. Воронка продвижения Face2 в сопоставлении с эталонной воронкой биометрического продукта в банковском секторе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фигура на рисунке 2.3.1 показывает, что у Face2 архитектурно перегружен центральный этап «Доверие» по содержательной составляющей и недогружены полюса (Осведомлённость, Лояльность) и массовый охват самого ядра. Это совпадает со структурой коммерческого присутствия из параграфа 2.2: банк глубоко работает в немногих сегментах и в одном регионе вместо широкого покрытия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продвижения Face2 в формате SWOT дана в таблице 2.3.4. SWOT строится строго в маркетинговой плоскости — общая характеристика продукта и банка собрана в параграфе 2.1, рыночный контекст и конкурентные позиции — в параграфе 2.2, и здесь они не повторяются. Зона интереса — только то, что относится к коммуникационному контуру и его инструментам.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SWOT-анализ продвижения Face2</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сильные стороны</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 — слабые стороны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пул Physical evidence: КБС, ФСБ, ФСТЭК, реестр ПО, № 115-ФЗ (№ 101) [27; 35]</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Локальный охват СМИ — концентрация в Татарстане</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Партнёрства федер. уровня в одном проекте: Минцифры, Минтранс, ЦБТ, НСПК [26, с. 30–31]</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отдельного бренда Face2 в соцсетях [26, с. 33]</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Внутренняя демозона: 5 000+ сотрудников × 200 биотерминалов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регулярной подготовки контента и редпрограммы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тыс. карт, биометрия в приложении [26, с. 28–29]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 публично не зафиксирована</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Стаж в ЕБС с 10.07.2018 — готовый сторителлинг [39]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Публичных тарифов, ROI-калькулятора, конверсии нет</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Рейтинги «A» и ESG-A банка как Physical evidence [26, с. 4]</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Минимальная публичная экспертная команда — один контакт продаж [27]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Устаревшая гипотеза 2018 г. об органическом спросе [39]</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 — возможности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угрозы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(9 мес. 2025 / 9 мес. 2024)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в B2C-биоэквайринге: 700 тыс. терминалов, 30 млн пользователей, 116 млрд руб. за 2025 [38]</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420/421-ФЗ — растёт ценность аккредитованных операторов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 NIST FRTE и работа в 38 странах [40]</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 база без повторной сдачи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 полный цикл СКУД с аппаратом и федер. референсами (РЖД, Мосэнергосбыт, Тульская обл.) [41]</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Массовая коммерциализация: чек ≈ 770 руб., рост по транзакциям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Утечки у любого аккредитованного оператора → удар по доверию ко всему классу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Структурный вывод SWOT: сильные стороны продвижения Face2 сосредоточены в push-канале, слабые — в pull-канале, при этом возможности рынка (рост биометрических платежей, ужесточение 420-ФЗ и 421-ФЗ, накопление 10+ млн пользователей ЕБС [27; 32]) работают в пользу банка, а угрозы распределены по трём осям — масштабу (Сбер [38]), технологической верификации (VisionLabs [40]) и полному циклу СКУД (OVISION [41]). Продвижение находится в положении, при котором слабые стороны сосредоточены в той части маркетингового инструментария, где у банка уже есть необходимые ресурсы (банковская экосистема, рейтинги, региональные данные). Это вопрос конфигурации, а не дополнительных вложений, — основа для разработки стратегии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продвижения, последовательно зафиксированных в предыдущих подразделах настоящего параграфа, агрегированы в таблицу 2.3.5. Эта таблица одновременно завершает анализ текущего состояния и определяет направления разработки стратегии в главе 3: каждый пробел переходит в задачу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перечень пробелов продвижения Face2 как основа для разработки стратегии в главе 3</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2698"/>
        <w:gridCol w:w="3373"/>
        <w:gridCol w:w="1574"/>
        <w:gridCol w:w="1349"/>
      </w:tblGrid>
      <w:tr>
        <w:trPr>
          <w:tblHeader/>
          <w:cantSplit/>
        </w:trPr>
        <w:tc>
          <w:tcPr>
            <w:tcW w:w="64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6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w:t>
            </w:r>
          </w:p>
        </w:tc>
        <w:tc>
          <w:tcPr>
            <w:tcW w:w="337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57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w:t>
            </w:r>
          </w:p>
        </w:tc>
        <w:tc>
          <w:tcPr>
            <w:tcW w:w="134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Где зафиксирован</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Push-каналы сильны; pull-каналы (СМИ вне РТ, отдельный бренд в соцсетях) фрагментарны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аккредитации, № 115-ФЗ, ЕБС с 2018) не переведён в массовое сообщение «доверие»</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 и возрастная верификация заявлены продуктово, публичных кейсов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независимой верификации (NIST FRTE, iBeta, CVPR)</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(CISO, юрист 572-ФЗ, продакт); один контакт продаж</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 face2.ru нет CTA (заявка, демо, ROI-калькулятор); автоворонки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Лояльностный/референсный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Воронка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АБО (930 тыс.) и Карта жителя РТ вне РТ не задействованы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предыдущих подразделов настоящего параграфа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Выявленные проблемы продвижения продукта группируются в три кластера: пробелы охвата (1, 3, 8 — канальный, сегментный, географический), пробелы аргументации (2, 4, 5 — контентный, доказательный, People) и пробелы инфраструктуры воронки (6, 7 — конверсионный, лояльностный). Разработка стратегии в главе 3 ведётся по этим трём параллельным направлениям.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Приоритеты этих направлений задаются связью с уже занятой конкурентной нишей: регуляторное преимущество, банковская экосистема и шестилетний стаж в ЕБС — ресурсы, которые в продвижении следует не создавать, а активизировать. Стратегия Face2 не должна строиться ни как попытка догнать Сбер по объёму, ни как верификационное состязание с VisionLabs — обе траектории требуют ресурсов, которых у банка нет в нужных объёмах. Содержательная задача — конвертация уже накопленного институционального и инфраструктурного капитала в массовое сообщение и в массовый канал при сохранении сильной B2B-составляющей и без размывания регуляторного позиционирования. На этой рамке строится глава 3: 3.1 переводит результаты анализа в цели и задачи стратегии и обновляет позиционирование, 3.2 разрабатывает комплекс маркетинговых мероприятий и дорожную карту, 3.3 проверяет стратегию через KPI, экономический эффект, оценку рисков и план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главе 2 Ак Барс Банк был описан как разработчик Face2 — крупный региональный банк с активами 1,16 трлн рублей, рейтингами «A» по национальной шкале и собственной биометрической вертикалью с аккредитацией Минцифры по правилам КБС, сертификацией ФСБ и ФСТЭК, внутренней инсталляцией на 5 000+ сотрудников и пилотами с Минцифры, Минтрансом и НСПК [31, с. 1–3; 27; 26, с. 30–31]. Российский рынок биометрии прошёл точку массовой коммерциализации — 145,9 млн платежей и 112,5 млрд рублей оборота за девять месяцев 2025 года, свыше 10 млн пользователей ЕБС — и работает в жёсткой регуляторной рамке 572-ФЗ, ограничивающей круг операторов аккредитованными игроками [1; 32; 34]. Балльная экспертная оценка под целевой сегмент B2B и B2G со сценариями работы с физическими лицами через ЕБС вывела Face2 на разделённую вторую позицию (4,10) после Сбера (4,25), а собственный конкурентный сегмент банка — пересечение банковской экосистемы, права работы с биометрией физических лиц через ЕБС и продуктовой линейки под платежи, проход и подтверждение возраста — у ключевых конкурентов отсутствует [27; 38; 35; 40; 41]. Анализ текущего продвижения через STP, 7P, маркетинговую воронку с этапом «Доверие» и карту каналов выявил структурную асимметрию: push-каналы развиты сильно, pull-каналы фрагментарны, что собирается в восемь связанных пробелов — канальный, контентный, сегментный, доказательный, People, конверсионный, лояльностный и географический [27; 26, с. 28–33; 35; 39]. Полученные результаты анализа сегментов создают информационную базу для главы 3 — разработки стратегии продвижения, опирающейся на сильные стороны Face2 (регуляторный капитал, банковская экосистема, стаж в ЕБС с 2018 года) и закрывающей выявленные пробелы по трём направлениям: расширение охвата, усиление аргументации и достройка инфраструктуры воронки.</w:t>
      </w: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 РАЗРАБОТКА СТРАТЕГИИ ПРОДВИЖЕНИЯ ИННОВАЦИОННОГО ПРОДУКТА FACE2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 Обоснование стратегии продвижения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опирается на результаты второй главы. В параграфе 2.1 показано, что Face2 прошёл путь от тестового внедрения в офисах банка в 2019 году до коммерческой биометрической системы с аккредитацией Минцифры России в 2023 году, биоэквайринга в Казанском метрополитене в 2024 году и сервисов подтверждения возраста и регистрации в гостинице без паспорта в 2025 году [27; 26, с. 28–33; 28; 29]. Согласно теории диффузии Роджерса, продукт находится на стыке стадий ранних последователей и раннего большинства: тестовый и пилотный контуры пройдены, начат этап коммерческого масштабирования, при котором ключевой задачей продвижения становится перевод накопленной доказательной базы в массовое сообщение и в массовый канал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2.2 зафиксировал конкурентную позицию Face2: сравнительная матрица (приложение А) и балльная экспертная оценка по восьми ключевым факторам успеха (таблица 2.2.5) показали, что банк удерживает сильные позиции по регуляторно-правовому капиталу (аккредитация КБС, сертификация ФСБ и ФСТЭК, реестр отечественного ПО, шестилетний стаж в ЕБС), сегментной полноте под B2B/B2G и экосистемной интеграции, но уступает лидерам по независимой верификации точности и масштабу присутствия [27; 26; 38; 35; 40; 41]. Параграф 2.3 диагностировал асимметрию коммуникационной архитектуры: push-каналы (B2B/B2G, партнёрства, пилоты) развиты сильно, pull-каналы (массовые СМИ за пределами Татарстана, отдельный бренд в социальных сетях, экспертный контент) фрагментарны (таблица 2.3.2 и рисунок 2.3.1). Этот диагноз — отправная точка для стратегии: задача не в смене инструментов, а в их перенастройке.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проблем продвижения Face2 формируется на основе сводной таблицы 2.3.5 параграфа 2.3, в которой зафиксированы восемь пробелов, сгруппированных в три кластера — охват, аргументацию и инфраструктуру воронки. Прежде чем переходить к стратегии, важно отделить эти восемь пробелов от двух других источников трудностей, которые стратегия продвижения не устраняет, а лишь учитывает как заданные условия. Первый из них — внешние барьеры биометрии как технологии (психологические, поведенческие, организационные и регуляторно-репутационные), уже разобранные в параграфе 1.3 (таблица 1.3.1); они характеризуют рынок в целом и одинаковы для всех его участников. Второй — объективные особенности самого продукта Face2: широкая линейка (девять продуктов под одиннадцать отраслей) и двухуровневая модель продаж (таблицы 2.1.4 и 2.2.2), из-за которых один продукт закрывает несколько сегментов, а одному сегменту нужно несколько продуктов. Первые два источника заданы рынком и продуктом и принимаются в главе 3 как рамка; предметом разработки являются именно восемь пробелов продвижения, то есть коммуникационная архитектура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Сводное представление этих восьми пробелов с указанием влияния каждого дано в таблице 3.1.1. Содержательно это та же раскладка, что и в таблице 2.3.5 (восемь пробелов в трёх кластерах), дополненная оценкой последствий каждого пробела для продвижения, — отдельной классификации таблица 3.1.1 не вводит.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проблемы продвижения продукта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1798"/>
        <w:gridCol w:w="3597"/>
        <w:gridCol w:w="3597"/>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7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пробелов (по 2.3.5)</w:t>
            </w:r>
          </w:p>
        </w:tc>
        <w:tc>
          <w:tcPr>
            <w:tcW w:w="35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Проблема</w:t>
            </w:r>
          </w:p>
        </w:tc>
        <w:tc>
          <w:tcPr>
            <w:tcW w:w="35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канальный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узнаваемость на федеральном уровне; pull-каналы фрагментарны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Меньше входящих обращений и доверия новых клиентов</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сегментный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публичных кейсов в гостинично-ритейловых сегментах при заявленной линейке</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охват уже продуктового</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географический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банковская экосистема и Карта жителя вне РТ не задействованы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 отражает географию операций, а не потенциал рынка</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контентный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ФСБ, ФСТЭК, реестр ПО, ЕБС с 2018) подаётся для специалистов</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Барьер недоверия не закрывается; этап «Доверие» недогружен</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доказательный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NIST FRTE/iBeta/CVPR; мало кейсов с экономикой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Усложняет B2B-решения; снижает позицию против VisionLabs/OVISION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People</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один контакт продаж</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Слабее экспертное позиционирование в B2B/B2G</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конверсионный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CTA-механики и автоворонки на face2.ru</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не конвертируется в пробу</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лояльностный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работает «Лояльность»; референсная база не воспроизводится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40; 41; 39] и параграфа 2.3 (таблица 2.3.5) с учётом классификации барьеров биометрии параграфа 1.3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в таблице 3.1.1 показывает, что пробелы продвижения Face2 сосредоточены не в зоне продуктовых характеристик и не в зоне регуляторного капитала — в этих зонах банк удерживает сильную позицию по результатам параграфа 2.2 — а в зоне коммуникационной архитектуры. Стратегия продвижения, разрабатываемая в подразделах 3.1.2–3.1.5 и в параграфе 3.2, должна последовательно закрывать три кластера пробелов: охват, аргументацию и инфраструктуру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при дальнейшем чтении не теряться в обилии таблиц и классификаций, зафиксируем единую сквозную логику главы 3, к которой сводятся все её таблицы. Разработка строится на двух пересекающихся осях. Первая ось — что исправляем: это три кластера пробелов (охват, аргументация, инфраструктура воронки), к которым сведены все восемь пробелов таблицы 2.3.5. Вторая ось — для кого работаем: это три направления продвижения, привязанные к двухуровневой модели продаж, — А (прямые продажи КБС под ключ, уровень 1), Б (массовое подключение объектов к сервисам Face2, уровень 2) и вспомогательное В (конечные пользователи, B2C). Общей шкалой для обеих осей служат этапы маркетинговой воронки из таблицы 1.2.4. Все последующие таблицы — это проекции одной и той же конструкции: мероприятия параграфа 3.2 распределены по направлениям и закрывают конкретные пробелы, а система показателей параграфа 3.3 измеряет продвижение по матрице «направление × этап воронки». Поэтому при кажущемся многообразии уровней читателю достаточно удерживать одну связку: пробел → кластер → направление → мероприятие → показатель.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продвижения Face2 формулируется в SMART-логике с горизонтом 2026–2028 годов: повысить узнаваемость Face2 на российском рынке биометрических решений и сформировать доверие к продукту прежде всего со стороны приоритетных плательщиков — корпоративных (B2B) и государственных (B2G) заказчиков, одновременно снимая барьер недоверия у конечных пользователей (B2C) как вспомогательного направления, обеспечивающего готовность рынка, увеличив за указанный горизонт количество подтверждённых внешних внедрений продуктов линейки не менее чем в три раза относительно базового 2025 года и доведя долю pull-канала (массовое цифровое присутствие, экспертный контент, отраслевые публикации) в структуре коммуникационных активностей до уровня, сопоставимого с push-каналом, при сохранении конкурентного преимущества по регуляторно-правовому капиталу. Численные ориентиры по узнаваемости, количеству лидов, пилотным проектам и коммерческой конверсии формируются в параграфе 3.3 как KPI стратегии и согласуются с мероприятиями параграфа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разворачивается в семь задач, каждая из которых закрывает один из трёх кластеров пробелов, выделенных в таблице 3.1.1, и связана с подразделом параграфа 3.2, в котором эта задача будет реализована мероприятиями: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уточнить позиционирование Face2 как комплексной отечественной биометрической платформы Ак Барс Банка, соответствующей требованиям 572-ФЗ и ориентированной на практические задачи организаций (закрывает контентный пробел; реализуется в подразделе 3.1.4 и в подразделах 3.2.1,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сформировать отраслевые ценностные предложения для шести приоритетных сегментов с учётом двухуровневой модели продаж (закрывает сегментный пробел; реализуется в подразделах 3.1.3 и 3.2.1,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усилить коммуникацию по вопросам безопасности биометрических данных, соответствия требованиям 572-ФЗ, использования ЕБС и КБС, переведя регуляторный капитал из языка специалистов в массовое сообщение «доверие» (закрывает контентный и доказательный пробелы; реализуется в подразделе 3.2.4 и на этапе «Доверие» маркетинговой воронки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повысить узнаваемость Face2 на федеральном рынке за счёт PR-активности, участия в отраслевых мероприятиях, публикации экспертных материалов и развития цифровых каналов (закрывает канальный и географический пробелы; реализуется в подразделах 3.2.3,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 расширить доказательную базу продукта за счёт публичных кейсов внедрения, демонстрационных проектов, расчётов экономического эффекта и сравнительных материалов (закрывает доказательный пробел и пробел People; реализуется в подразделах 3.2.2,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 развернуть систему продвижения для двух уровней продаж — КБС под ключ для аккредитованных операторов (уровень 1) и подключение конечных объектов к КБС Ак Барс Банка по транзакционной или абонементной модели (уровень 2), включая прямые продажи, партнёрства с интеграторами и вендорами оборудования и пилотные проекты как основное (плательщицкое) направление B2B и B2G, дополнив его вспомогательными B2C-сценариями для конечных пользователей сервисов Face2Pay, Face2Pass и Face2Check-in, которые не приносят прямой выручки, но формируют спрос (закрывает канальный, географический и конверсионный пробелы; реализуется в подразделах 3.2.1,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ё) сформировать систему показателей эффективности продвижения и инфраструктуру референсной работы — отзывы, кейс-стади, NPS, программа повторных продаж модулей (закрывает конверсионный и лояльностный пробелы; реализуется в подразделе 3.2.5 и в параграфе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и связь задач с кластерами пробелов и подразделами 3.2 представлены в таблице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Цели и задачи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6"/>
        <w:gridCol w:w="4380"/>
        <w:gridCol w:w="2920"/>
      </w:tblGrid>
      <w:tr>
        <w:trPr>
          <w:tblHeader/>
          <w:cantSplit/>
        </w:trPr>
        <w:tc>
          <w:tcPr>
            <w:tcW w:w="233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стратегии</w:t>
            </w:r>
          </w:p>
        </w:tc>
        <w:tc>
          <w:tcPr>
            <w:tcW w:w="43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9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 реализация</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Повысить узнаваемость Face2 и доверие приоритетных плательщиков B2B и B2G при вспомогательной работе с B2C; к 2026–2028 +3× к подтверждённым внедрениям 2025 г.; pull-канал сопоставим с push</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три кластера / 3.2,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Коммуникационная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Перевести регкапитал в массовое «доверие»; усилить экспертное позиционирование</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предложения под 6 сегментов × 2 уровня; расширить цифровые и PR-каналы</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аргументация / 3.2.1, 3.2.2,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Рост заявок, пилотов и внедрений по обоим уровням</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инфраструктура / 3.2.1,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Имиджевая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Face2 как отечественную биоплатформу с банковской экспертизой</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Аналитическая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KPI продвижения, регулярная оценка, программа референсов</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3.2.5,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База отраслевых кейсов с экономикой; линейка спикеров (CISO, юрист 572-ФЗ, продакт)</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3.2.2,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CTA-механика на face2.ru (заявка, демо, ROI), автоворонка</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3.2.3, 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параграфов 1.2 (таблица 1.2.1) и 2.3 (таблица 2.3.5),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задач с кластерами пробелов и подразделами параграфа 3.2 делает стратегию практически реализуемой: каждая задача 3.1.2 имеет явный адрес реализации и явный измеримый результат, который будет оценён системой KPI параграфа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и приоритизация целевых сегментов выполняются по модели STP [8, с. 314; 10, с. 175]: сегментация рынка проведена в параграфе 2.2 (таблица 2.2.2 — шесть устойчивых сегментов российского рынка биометрии: государственная идентификация, финансовый сектор, транспорт, СКУД режимных объектов, ритейл с возрастной верификацией, гостиничный сегмент); таргетирование выполняется в настоящем подразделе по трём критериям приоритизации; позиционирование — в подразделе 3.1.4. Критерии приоритизации сегментов: соответствие сильным сторонам Face2 по результатам балльной оценки конкурентов (таблица 2.2.5 — регуляторный капитал, экосистемная интеграция, банковская экспертиза); текущая стадия закрытия сегмента продуктово и коммуникативно (таблица 2.3.1); экономический потенциал — рост биометрических платежей, количество пользователей ЕБС, плотность регуляторных требований [27; 38;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ведётся в разрезе двухуровневой модели продаж Face2, введённой в таблице 2.1.4 параграфа 2.1. Уровень 1 — поставка полного программного контура КБС аккредитованной организации-оператору биометрии (банку-партнёру или государственной структуре с правом регистрировать векторы в ЕБС): длительный цикл продажи, единичные сделки, ЛПР — топ-менеджмент и совет директоров заказчика, каналы — прямые B2B-продажи, отраслевые конференции, персональные демонстрации, экономика — лицензионные и проектные платежи [27; 28; 29]. Уровень 2 — подключение конечного объекта к КБС, размещённой у Ак Барс Банка, по транзакционной или абонементной модели без аккредитации заказчика: короткий цикл продажи, массовые сделки, ЛПР — операционный менеджмент объекта, каналы — партнёрства с интеграторами, вендорами оборудования и платёжными провайдерами, цифровые каналы и pull-инструменты, экономика — транзакционные комиссии и абонементные платежи [27; 29]. На втором уровне в качестве конечного потребителя сервиса (B2C-составляющая) выступает физическое лицо — пользователь Face2Pay, Face2Pass или Face2Check-in: для него стратегия продвижения формирует pull-спрос через массовые сценарии (метро, ритейл, гостиница, спортивная арена) и через коммуникацию о безопасности и удобстве биометрии. Согласно теории диффузии инноваций Э. Роджерса, в B2C-составляющей приоритетной аудиторией стратегии на горизонте 2026–2028 годов являются ранние последователи и раннее большинство, поскольку именно они переводят технологию из стадии пилотов в стадию массового использования и формируют референсный материал для более консервативных сегментов аудитории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Принципиально важно зафиксировать иерархию аудиторий, которая вытекает из двухуровневой модели и определяет всю последующую логику продвижения. Сегменты различаются по двум независимым осям — кто платит за продукт и кто им пользуется. Плательщиками выступают корпоративные (B2B) и государственные (B2G) заказчики: именно они приобретают КБС под ключ, лицензии и подключения объектов, и именно на них приходится прямая выручка и push-канал продвижения. Конечные пользователи (B2C) — физические лица, пользующиеся сервисами Face2Pay, Face2Pass и Face2Check-in, — за биометрию напрямую не платят: расходы несёт обслуживающий их бизнес или государство. Поэтому B2C не является самостоятельным коммерческим сегментом в одном ряду с B2B и B2G, а образует вспомогательный слой: работа с ним носит просветительский характер, снимает психологический барьер недоверия и формирует готовность пользоваться биометрией, что косвенно повышает спрос со стороны плательщиков. Таким образом, основное направление стратегии — B2B и B2G (push, прямая выручка, уровни продаж 1 и 2), а вспомогательный B2C-слой (pull, направление В в таблице 3.2.1) подчинён ему и работает на зрелость рынка, а не на собственную выручку; это согласуется с выводом параграфа 1.3 о первичности push по отношению к pull в банковской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сегменты в разрезе двух уровней продаж и с указанием отраслевого ценностного предложения представлены в таблице 3.1.3. Десять перечисленных в ней отраслевых направлений применения укрупняются в шесть приоритетных рыночных сегментов таблицы 2.2.2 (государственная идентификация, финансовый сектор, транспорт, СКУД режимных объектов, ритейл с возрастной верификацией, гостиничный сегмент), под которые в параграфе 3.2.2 формируются шесть отраслевых ценностных предложений; детализация до десяти строк нужна лишь для точной привязки продуктов и уровней продаж.</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целевые сегменты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91"/>
        <w:gridCol w:w="1291"/>
        <w:gridCol w:w="2185"/>
        <w:gridCol w:w="1788"/>
        <w:gridCol w:w="2980"/>
      </w:tblGrid>
      <w:tr>
        <w:trPr>
          <w:tblHeader/>
          <w:cantSplit/>
        </w:trPr>
        <w:tc>
          <w:tcPr>
            <w:tcW w:w="13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2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(по 2.1.4)</w:t>
            </w:r>
          </w:p>
        </w:tc>
        <w:tc>
          <w:tcPr>
            <w:tcW w:w="21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7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Потребитель</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KYC, SDK</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Банки-операторы биометрии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антифрод, KYC по ЕБС, банковская экспертиза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 (через банк)</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KYC, интеграция с КБС</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Готовая дистанц. идентификация заёмщиков; ниже опер./регрисков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оплаты, возрастная верификация, новый клиентский опыт</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Вендинг</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Операторы вендинга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Автоматизация продажи возрастных товаров без продавца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скорость регистрации</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в кампус, посещаемость, защита от передачи пропусков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Промышленные предприятия</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 доступ к ПК</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Режимные предприятия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и времени, защита периметра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и МФЦ</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идентификация без документов,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Госорганы, МФЦ</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доступность услуг, соответствие регулированию</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Транспортная инфраструктура</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аэропорты, перевозчики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пассажиропотока, биоэквайринг по модели Казанского метро</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Спортивные и массовые объекты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Арены, концертные площадки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потоки, проход без билетов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41; 28; 29], параграфов 2.1 (таблица 2.1.4) и 2.2 (таблица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 двум уровням продаж в таблице 3.1.3 показывает, что банки и государственные учреждения преимущественно относятся к первому уровню продаж и требуют push-инструментов с длинным циклом согласования, тогда как ритейл, вендинг, гостиницы, вузы, промышленные предприятия, транспорт и массовые объекты относятся ко второму уровню и могут продвигаться через интеграторов, вендоров оборудования и pull-инструменты массового охвата. Конечные пользователи (B2C) в таблицу приоритетных сегментов сознательно не включены, поскольку не являются плательщиками: работа с ними вынесена в отдельное вспомогательное направление (направление В, таблица 3.2.1) и подчинена продвижению на уровнях 1 и 2. Это распределение задаёт принципиальное различие для выбора типа стратегии, обоснование которого даётся в подразделе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формируется как третий шаг модели STP и опирается на конфигурацию комплекса 7P, выведенную в параграфе 1.3 и сопоставленную с фактической практикой Face2 в параграфе 2.3 (таблица 2.3.3). По результатам этого сопоставления самым сильным элементом комплекса маркетинга Face2 является Physical evidence — регуляторно-правовой капитал, удерживаемый банком (КБС, аккредитация Минцифры России, сертификация ФСБ и ФСТЭК, реестр отечественного ПО, № 101 в перечне банков по № 115-ФЗ [35], стаж в ЕБС с 10 июля 2018 года [39]), — но его коммуникационная эффективность снижена из-за того, что он подаётся языком специалистов, а не массовой аудитории. Целевая конфигурация 7P для стратегии продвижения Face2 предполагает усиление элементов People (линейка спикеров — CISO, юрист по 572-ФЗ, продакт-менеджер) и Process (автоматическая воронка на face2.ru, CTA-механика, ROI-калькулятор) при сохранении и переоформлении Physical evidence в массовое сообщение «доверие». Маркетинговая воронка из таблицы 1.2.4 параграфа 1.2 в её биометрической конфигурации (рисунок 2.3.1) требует расширения этапа «Доверие» — именно на нём концентрируются элементы позиционирования, переводящие регуляторный капитал банка в аргумент для массовой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этой базе позиционирование формулируется через единое ценностное предложение, которое раскрывается далее в пяти смысловых блоках: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Face2 — комплексная отечественная биометрическая платформа Ак Барс Банка для бизнеса и государственных организаций, обеспечивающая безопасную идентификацию, оплату, контроль доступа и обслуживание клиентов в соответствии с требованиями законодательства Российской Федерации.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качестве ключевого коммуникационного сообщения, вокруг которого выстраивается работа в параграфе 3.2, предлагается формулировка: «Биометрия по закону, банковский уровень доверия». Это сообщение фиксирует два главных отличия Face2 (соответствие 572-ФЗ и принадлежность банковской инфраструктуре аккредитованного оператора) и работает одновременно на этапе «Осведомлённость» и на этапе «Доверие» маркетинговой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раскрывается через пять смысловых блоков. Во-первых, законность и соответствие требованиям регулирования: Face2 продвигается как решение, позволяющее организациям использовать биометрию в правовом поле — на базе аккредитованной КБС, ЕБС и сертификации ФСБ и ФСТЭК [27; 1; 36; 37; 28]. Этот блок критичен для банков, МФО, государственных учреждений, крупных предприятий и режимных объектов. Во-вторых, безопасность и защита данных: коммуникация подчёркивает архитектуру защищённого хранения биометрических векторов, использование криптозащиты и снижение рисков несанкционированного доступа [16, с. 43–48; 24, с. 100–110; 25, с. 112–115; 1; 36]. В-третьих, комплексность платформы: Face2 позиционируется как экосистема биометрических решений, охватывающая КБС, биоэквайринг (Face2Pay), биометрический проход (Face2Pass), регистрацию в гостинице (Face2Check-in), подтверждение возраста, доступ к ПК и SDK для интеграторов [27; 28; 29]; комплексность даёт заказчику возможность закрыть несколько задач одним поставщиком. В-четвёртых, банковская экспертиза и практический опыт внедрения: использование Face2 более чем 5 тыс. сотрудников банка и работа около 200 биотерминалов в офисах и отделениях [27; 26, с. 33] подтверждают применимость продукта в крупной организации и закрывают типовое возражение B2B-аудитории о неотлаженности технологии. В-пятых, отечественное технологическое решение: в условиях курса на технологическую независимость Face2 опирается на отечественное программное обеспечение, реестр Минцифры и отечественные терминалы, что переводится в аргумент соответствия политике импортозамещения для государственного и корпоративного сегмента [27; 1; 35; 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Систематизация ключевых элементов позиционирования и значения каждого элемента для клиента дана в таблице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элементы позиционирования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87"/>
        <w:gridCol w:w="4663"/>
        <w:gridCol w:w="2487"/>
      </w:tblGrid>
      <w:tr>
        <w:trPr>
          <w:tblHeader/>
          <w:cantSplit/>
        </w:trPr>
        <w:tc>
          <w:tcPr>
            <w:tcW w:w="24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позиционирования</w:t>
            </w:r>
          </w:p>
        </w:tc>
        <w:tc>
          <w:tcPr>
            <w:tcW w:w="466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4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клиента</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Законность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ЕБС, КБС</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юридических рисков</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Криптозащита, ФСБ, ФСТЭК, защищённая инфраструктура</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к продукту</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Комплексность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Face2Pass, Face2Check-in, возраст, доступ к ПК, SDK</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поставщик на несколько задач</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экспертиза</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 внутренний кейс (5 тыс. сотрудников, 200 биотерминалов)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Надёжность</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Отечественное решение</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Российское ПО и терминалы, реестр Минцифры</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Импортозамещение</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Практическая эффективность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доступ, снижение рисков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выгода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43–48; 24, с. 100–110; 25, с. 112–115; 27; 26, с. 33; 1; 36; 35; 39; 37;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Таким образом, стратегическое позиционирование Face2 строится не только на технологической новизне, но и на сочетании пяти факторов: законности, безопасности, комплексности, банковской экспертизы и отечественного происхождения. Эти факторы выделяют Face2 среди конкурентов, зафиксированных в таблице 2.2.5 (VisionLabs, OVISION, Сбер), и формируют основу для отраслевых ценностных предложений из таблицы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четырёх альтернативных типов стратегии (push, pull, интегрированная, партнёрская — таблица 1.2.2) для Face2 выбирается интегрированная push-pull-стратегия с асимметричным усилением pull-канала на втором уровне продаж и сохранением сильного push-канала на первом. Чисто push-стратегия лишь усиливает уже сильный контур и не закрывает канальный, географический и конверсионный пробелы; чисто pull-стратегия требует ресурсов уровня Сбера и не учитывает первичности B2B-согласований для биометрии (параграф 1.3); партнёрская стратегия у Face2 уже работает и не снимает асимметрию.</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по уровням продаж: на первом уровне (КБС под ключ аккредитованным операторам) сохраняется push-канал с длительным циклом согласований и персональными продажами; на втором уровне (Face2Pay, Face2Pass, Face2Check-in) разворачивается pull-канал через цифровые каналы, контент-маркетинг и работу с ранними последователями. Такая конфигурация конвертирует уже накопленный институциональный капитал банка (регуляторное преимущество, стаж в ЕБС с 2018 года, банковская экосистема, более 10 млн пользователей ЕБС [27; 32; 39]) в массовое сообщение и массовый канал без размывания регуляторного позиционирования и без инвестиций в собственный B2C-маркетинг федерального масштаба.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стратегию можно было рассматривать как управляемый проект, её ключевые параметры сведены в единый паспорт (таблица 3.1.5): что она собой представляет (описание), какую цель преследует, в какие сроки реализуется, какими целевыми показателями измеряется результат, каким бюджетом обеспечивается и кто отвечает за реализацию. Сроки и целевые показатели задаются здесь как общая рамка стратегии; их подробная развёртка по фазам, KPI и сценариям приведена в параграфе 3.3, а бюджет по статьям — в подразделе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Паспорт стратегии продвижения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13"/>
        <w:gridCol w:w="6724"/>
      </w:tblGrid>
      <w:tr>
        <w:trPr>
          <w:tblHeader/>
          <w:cantSplit/>
        </w:trPr>
        <w:tc>
          <w:tcPr>
            <w:tcW w:w="29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Параметр</w:t>
            </w:r>
          </w:p>
        </w:tc>
        <w:tc>
          <w:tcPr>
            <w:tcW w:w="672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Описание</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Перенастройка продвижения Face2: интегрированная push-pull-стратегия с асимметричным усилением pull на втором уровне продаж. Push (уровень 1) — поставка КБС под ключ заказчикам B2B/B2G; pull (уровень 2) — массовое цифровое продвижение сервисов Face2Pay, Face2Pass, Face2Check-in и просвещение пользователей</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Повысить узнаваемость Face2 и сформировать доверие у приоритетных плательщиков B2B и B2G при вспомогательной работе с B2C</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Сроки</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36 месяцев (2026–2028); три фазы: активация (1–6 мес.), масштабирование (7–18 мес.), закрепление (19–36 мес.). Календарь — в параграфе 3.3</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Целевые показатели</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внедрения ≥ 3× к уровню 2025 года; доля pull сопоставима с push; конверсия сайта в заявку 1,5–3 %; окупаемость ≈ 7-й мес. (дисконт. ≈ 1,2 года); положительный ЧДД в сценариях Р и О. Полная система KPI — в параграфе 3.3</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Бюджет</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34,0 млн руб. на 36 месяцев; детализация — в подразделе 3.2.6</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Ключевое сообщение</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«Биометрия по закону, банковский уровень доверия»</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Ответственный за реализацию</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(продуктовая) служба Face2 в составе АББ; распределение ролей — в таблице 3.3.7</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подразделов 3.1.1–3.1.5, параграфа 3.2 (бюджет — таблица 3.2.6) и параграфа 3.3 (сроки, KPI, сценарии).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3.1. Для Face2 обоснована интегрированная стратегия продвижения, сочетающая прямое продвижение (push) и массовое продвижение (pull) с разделением по двум уровням продаж: на первом уровне (поставка КБС под ключ аккредитованным операторам) сохраняется прямое продвижение с длительным циклом согласований, на втором уровне (подключение объектов к сервисам Face2Pay, Face2Pass, Face2Check-in) разворачивается массовое цифровое продвижение. Такая конфигурация закрывает три группы выявленных пробелов (охват, аргументация и инфраструктура воронки — таблица 2.3.5), опирается на сильные стороны Face2 (таблица 2.2.5) и нацелена на трёхкратный рост подтверждённых внешних внедрений к уровню 2025 года при доведении доли массового продвижения до уровня, сопоставимого с прямым. Ключевые параметры стратегии как проекта — описание, цель, сроки, целевые показатели и бюджет — сведены в паспорте (таблица 3.1.5). Ключевое коммуникационное сообщение «Биометрия по закону, банковский уровень доверия» переводит регуляторный капитал на язык массовой аудитории. Содержательное наполнение стратегии разрабатывается в параграфе 3.2, оценка эффективности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 Разработка комплекса маркетинговых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Двухуровневая модель продаж Face2 (таблица 2.1.4) предполагает, что стратегические направления не могут быть едиными для всех сегментов: длительный цикл КБС-проектов уровня 1 несовместим с массовой коммуникацией, а транзакционная экономика подключений уровня 2 — с режимом единичных персональных продаж [27; 28; 29]. Выделяются три направления продвижения — А (push в B2B длинного цикла, уровень 1), Б (pull в B2B/B2G короткого цикла, уровень 2) и В (B2C-слой как вспомогательная аудитория к уровню 2, реализующий теорию диффузии Э. Роджерса для ранних последователей и раннего большинства [14, с. 156, 161]). Сводная характеристика дана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направления продвижения Face2 по сегментам и уровням продаж</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33"/>
        <w:gridCol w:w="1723"/>
        <w:gridCol w:w="2153"/>
        <w:gridCol w:w="717"/>
        <w:gridCol w:w="1292"/>
        <w:gridCol w:w="2153"/>
        <w:gridCol w:w="663"/>
      </w:tblGrid>
      <w:tr>
        <w:trPr>
          <w:tblHeader/>
          <w:cantSplit/>
        </w:trPr>
        <w:tc>
          <w:tcPr>
            <w:tcW w:w="9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17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21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Аудитория</w:t>
            </w:r>
          </w:p>
        </w:tc>
        <w:tc>
          <w:tcPr>
            <w:tcW w:w="7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Цикл</w:t>
            </w:r>
          </w:p>
        </w:tc>
        <w:tc>
          <w:tcPr>
            <w:tcW w:w="129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21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Точки входа</w:t>
            </w:r>
          </w:p>
        </w:tc>
        <w:tc>
          <w:tcPr>
            <w:tcW w:w="66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Задачи 3.1.2</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госструктуры, крупные корпорации</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квартала</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 + партнёрская</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конференции, экспертные публикации, демозона АББ</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в), д)</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(Face2Pay/Pass/Check-in)</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вендинг, транспорт, БЦ, вузы, гостиницы, промпредприятия, аэропорты, спортобъекты</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недель</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типовое отраслевое предложение</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маркетплейсы, CTA на face2.ru</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г), е)</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Подложка к уровню 2</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Конечные пользователи Face2Pay/Check-in/Pass</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Транзакция</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точка контакта</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Терминал, АБО, «Карта жителя РТ», массовые СМИ</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г), ё)</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2.1.4, 3.1.2, 3.1.3, [11, с. 567; 16, с. 48; 24, с. 106; 6, с. 87; 8, с. 567; 10, с. 198;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Три направления — это вторая ось сквозной логики, зафиксированной в подразделе 3.1.1 (для кого работаем); вместе они закрывают все три кластера пробелов таблицы 2.3.5. Направления А и Б разводят push и pull по двум уровням продаж и тем самым закрывают канальный пробел; направления Б и В обеспечивают охват новых сегментов (гостиничный, возрастная верификация, массовый B2C) и выход за пределы Республики Татарстан, закрывая сегментный и географический пробелы.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Принцип «один сегмент — одно ценностное предложение» [5, с. 124; 8, с. 318] требует от стратегии Face2 матрицы из шести отраслевых предложений с собственным ценностным предложением, ключевым сообщением, количественной аргументацией и форматом коммерческого предложения для каждого сегмента из таблицы 3.1.3. Это закрывает контентный пробел 2 (регуляторный капитал переводится в массовое сообщение раздельно по сегментам) и сегментный пробел 3 таблицы 2.3.5.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Отраслевые предложения Face2 для шести приоритетных сегментов</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26"/>
        <w:gridCol w:w="1916"/>
        <w:gridCol w:w="2222"/>
        <w:gridCol w:w="2299"/>
        <w:gridCol w:w="1302"/>
        <w:gridCol w:w="670"/>
      </w:tblGrid>
      <w:tr>
        <w:trPr>
          <w:tblHeader/>
          <w:cantSplit/>
        </w:trPr>
        <w:tc>
          <w:tcPr>
            <w:tcW w:w="122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91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222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Сообщение</w:t>
            </w:r>
          </w:p>
        </w:tc>
        <w:tc>
          <w:tcPr>
            <w:tcW w:w="2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Аргументы</w:t>
            </w:r>
          </w:p>
        </w:tc>
        <w:tc>
          <w:tcPr>
            <w:tcW w:w="130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Формат КП</w:t>
            </w:r>
          </w:p>
        </w:tc>
        <w:tc>
          <w:tcPr>
            <w:tcW w:w="67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2.3.5</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и МФО</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 от регбанка с банковской экспертизой</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и 572-ФЗ»</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из 16 аккред. КБС РФ; ЕБС с 2018; 5 тыс. сотр., 200 терм.; № 101 в перечне ЦБ</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Эксперт-встреча + RFP + демо + ТЭО</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вендинг</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и возраст-верификация без аккредитации</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«Платёж лицом — быстрее карты и QR»</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 руб. чек; 145,9 млн платежей за 9 мес. 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онлайн-заявка</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проезда лицом — кейс Казанского метро</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 работает в одной из крупнейших транспортных систем РФ»</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Минтранс, ЦБТ, НСПК; 145,9 млн платежей</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с регоператором + Минтранс</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 и массовые объекты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Заселение/проход без паспорта по вектору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 млн векторов полезной базы ЕБС — ваши гости тоже»</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119 млн векторов в ЕБС на 31.12.2025; полезная &gt; 50 млн; +10× за 2024–2025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3, 8</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вузы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и пропуска можно списать»</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ниже опер. рисков</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опц. пилот</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МФЦ</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Идентификация без документов</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без потери юридической силы»</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 «Карта жителя РТ»; 5-уровневый регконтур</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в субъекте → тираж</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3, 4, 8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2.2.2, 3.1.3, [5, с. 124; 8, с. 318; 27; 26, с. 29, 33; 35; 32; 39; 37; 34; 28; 29], а также по предоставленным компанией данным.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Матрица решает три задачи: переводит регуляторный капитал в шесть сообщений, понятных операционному менеджменту конкретных сегментов; фиксирует количественную доказательную базу для каждого предложения; дифференцирует формат КП — от экспертной встречи с RFP в банковском сегменте до онлайн-заявки в ритейле.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Канальная структура Face2 формируется как ответ на канальный (1), географический (8) и конверсионный (6) пробелы таблицы 2.3.5. Принципиальное решение — сохранение сильного push-канала (внутреннее продвижение в банке, партнёрские каналы федерального уровня, демонстрационные каналы в Республике Татарстан, перечисленные в таблице 2.3.2) и достройка pull-канала за счёт четырёх канальных групп: цифровых каналов, экспертных офлайн-каналов, партнёрских каналов и банковской экосистемы как самостоятельного канала. Целевая структура представлена в таблице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Целевая канальная структура продвижения Face2</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3"/>
        <w:gridCol w:w="2888"/>
        <w:gridCol w:w="662"/>
        <w:gridCol w:w="1547"/>
        <w:gridCol w:w="1547"/>
        <w:gridCol w:w="1237"/>
      </w:tblGrid>
      <w:tr>
        <w:trPr>
          <w:tblHeader/>
          <w:cantSplit/>
        </w:trPr>
        <w:tc>
          <w:tcPr>
            <w:tcW w:w="17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каналов</w:t>
            </w:r>
          </w:p>
        </w:tc>
        <w:tc>
          <w:tcPr>
            <w:tcW w:w="28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66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154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Обслуживаемое направление 3.2.1</w:t>
            </w:r>
          </w:p>
        </w:tc>
        <w:tc>
          <w:tcPr>
            <w:tcW w:w="154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12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Закрываемый пробел 2.3.5</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face2.ru с CTA-механикой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Интерес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Face2 (Telegram, ВКонтакте, Habr)</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1, 2, 5</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1, 7</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(FINOPOLIS, CIPR и др.)</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Демонстрационная зона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Закрытые экспертные встречи</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 Принятие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Интеграторы</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Вендоры оборудования</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Государственные партнёры (Минцифры, Минтранс, ЦБТ, НСПК)</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B2G</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Мобильное приложение АБО АББ (930 тыс. пользователей)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(450 131 карта)</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Сеть из 166 офисов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Регистрация в ЕБС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2.3.2, [6, с. 87; 7; 27; 26, с. 17, 29, 30–31,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существующей структуре «как есть» (таблица 2.3.2) добавляются четыре новых элемента: переоснащённый face2.ru с CTA-механикой, отдельный бренд Face2 в соцсетях, контекстная реклама под направление Б и банковская экосистема как самостоятельный канал направления В. Push-блок при этом сохраняется в полном объёме, что соответствует асимметричной интегрированной стратегии §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наполняет этап «Доверие» маркетинговой воронки массовой аудиторией и синхронно закрывает три пробела аргументации таблицы 2.3.5: контентный (2) — переводом регуляторного капитала в массовое сообщение; доказательный (4) — планом независимой международной верификации точности (NIST FRTE, iBeta Level 2); пробел People (5) — формированием публичной линейки из четырёх ролей: CISO банка, юрист по № 572-ФЗ, продакт-менеджер Face2, амбассадоры из числа референс-клиентов. Регулярная подготовка контента строится на трёх типах материалов — регуляторном, кейсовом и доказательном [1; 36; 35; 40; 37; 2; 3; 4; 28; 29]. PR-стратегия выводит размещения за пределы татарстанских изданий в деловые федеральные СМИ и отраслевые ИТ-каталоги, закрывая географический (8) и канальный (1) пробелы. Распределение мероприятий сведено в таблице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44"/>
        <w:gridCol w:w="2801"/>
        <w:gridCol w:w="1681"/>
        <w:gridCol w:w="1905"/>
        <w:gridCol w:w="1120"/>
        <w:gridCol w:w="784"/>
      </w:tblGrid>
      <w:tr>
        <w:trPr>
          <w:tblHeader/>
          <w:cantSplit/>
        </w:trPr>
        <w:tc>
          <w:tcPr>
            <w:tcW w:w="134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активности</w:t>
            </w:r>
          </w:p>
        </w:tc>
        <w:tc>
          <w:tcPr>
            <w:tcW w:w="28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168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Регулярность</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11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Спикер</w:t>
            </w:r>
          </w:p>
        </w:tc>
        <w:tc>
          <w:tcPr>
            <w:tcW w:w="78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2.3.5</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контент</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(572-ФЗ, ЕБС, КБС, 420/421-ФЗ)</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2/мес.</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email</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Юрист по 572-ФЗ</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контент</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Кейсы внедрений с расчётом эффекта</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кейс/мес.</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СМИ</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 + амбассадор</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контент</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 материалы (точность, спуфинг, дипфейки)</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публ./квартал</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Habr + сайт</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 + продакт</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4, 5</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федеральных СМИ</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1–2/квартал</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«Ведомости», РБК, «Коммерсантъ»</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Профильный спикер</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1, 8</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ИТ-каталогах</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обновлениям</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TAdviser, CNews</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1, 4</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NIST FRTE</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iBeta Level 2 (антиспуфинг)</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выступления</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4–6/год</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FINOPOLIS, CIPR, отраслевые форумы</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четыре роли</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2.3.3, [16, с. 43–48; 24, с. 100–110; 6, с. 87; 7; 1; 36; 35; 40; 32; 37; 2; 3; 4;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 существующей практики Face2 стратегия отличается тремя элементами: переходом от точечных пресс-релизов к регулярной подготовке контента; планом получения независимой международной верификации точности; формированием публичной линейки из четырёх спикеров вместо одного контактного менеджера. Совокупно эти элементы наполняют этап «Доверие» массовой аудиторией без размывания регуляторного позиционирования.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Горизонт реализации — 36 месяцев, разделённых на три фазы. Содержательная логика по фазам сведена в таблице 3.2.5; календарный план с RACI и контрольными точками — в подразделе 3.3.4 (разделение содержательной и организационной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Содержательная логика этапов реализации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37"/>
        <w:gridCol w:w="820"/>
        <w:gridCol w:w="3075"/>
        <w:gridCol w:w="1230"/>
        <w:gridCol w:w="2973"/>
      </w:tblGrid>
      <w:tr>
        <w:trPr>
          <w:tblHeader/>
          <w:cantSplit/>
        </w:trPr>
        <w:tc>
          <w:tcPr>
            <w:tcW w:w="15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w:t>
            </w:r>
          </w:p>
        </w:tc>
        <w:tc>
          <w:tcPr>
            <w:tcW w:w="8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Горизонт</w:t>
            </w:r>
          </w:p>
        </w:tc>
        <w:tc>
          <w:tcPr>
            <w:tcW w:w="30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23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2.3.5</w:t>
            </w:r>
          </w:p>
        </w:tc>
        <w:tc>
          <w:tcPr>
            <w:tcW w:w="297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к выходу</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Активация</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CTA-сайт, регулярный контент, спикеры, заявки на NIST/iBeta, бренд в соцсетях, типовые КП</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(частично), 2, 5, 6</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лидов и доказательная база в работе</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Масштабирование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7–18</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Конференции, партнёрская сеть, пилоты в 3 сегментах, экосистема как канал, СМИ</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1, 3, 4, 8</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Накопленная референсная база и подтверждённые сертификации</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Закрепление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19–36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Референс-программа, расширение географии, эволюция продукта, B2G</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8 (углубление)</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Устойчивая узнаваемость и зрелая pull-воронка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анализа подразделов 3.2.1–3.2.4 с опорой на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Закрытие восьми пробелов распределяется по фазам неравномерно: пробелы аргументации (2, 5) и инфраструктуры воронки (6) — в фазе активации; пробелы охвата (1, 3, 8) и доказательный (4) — в фазе масштабирования; лояльностный (7) — в фазе закрепления. Это распределение задаёт логику бюджета (§ 3.2.6) и системы KPI (§ 3.3): фаза 1 требует приоритетных вложений в CAPEX, фаза 2 — в OPEX, фаза 3 — поддерживающего бюджета.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Логические зависимости между фазами: CTA-механика на face2.ru (фаза 1) — вход в digital-каналы фазы 2; публичная линейка спикеров (фаза 1) — вход в PR-активности фазы 2; результаты NIST FRTE и iBeta (фаза 2) — вход в массовое позиционирование фазы 3; пилоты фазы 2 — основа референсной базы фазы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Бюджет переводит мероприятия 3.2.1–3.2.5 в плоскость затрат и формирует вход в подраздел 3.3.2 для расчёта ROI. Структура бюджета строится по двум разрезам — тип затрат (CAPEX — разовые, OPEX — текущие) и фаза реализации — и опирается на состав выделенной проектной команды (маркетолог, аналитик, дизайнер с фондом оплаты труда с учётом налогов 5,5 млн руб. в год), стоимость отраслевых мероприятий (около 0,3 млн руб. за участие) и опору на потребительский зонтичный бренд «Мигом» АО «ЦБТ» вместо собственного B2C-маркетинга федерального масштаба. Численные значения статей являются расчётными допущениями автора и подлежат уточнению маркетинговой и финансовой службами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Бюджет мероприятий стратегии продвижения Face2 по статьям и фазам, млн руб.</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54"/>
        <w:gridCol w:w="892"/>
        <w:gridCol w:w="713"/>
        <w:gridCol w:w="892"/>
        <w:gridCol w:w="892"/>
        <w:gridCol w:w="892"/>
      </w:tblGrid>
      <w:tr>
        <w:trPr>
          <w:tblHeader/>
          <w:cantSplit/>
        </w:trPr>
        <w:tc>
          <w:tcPr>
            <w:tcW w:w="535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Статья</w:t>
            </w:r>
          </w:p>
        </w:tc>
        <w:tc>
          <w:tcPr>
            <w:tcW w:w="89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7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w:t>
            </w:r>
          </w:p>
        </w:tc>
        <w:tc>
          <w:tcPr>
            <w:tcW w:w="89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w:t>
            </w:r>
          </w:p>
        </w:tc>
        <w:tc>
          <w:tcPr>
            <w:tcW w:w="89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w:t>
            </w:r>
          </w:p>
        </w:tc>
        <w:tc>
          <w:tcPr>
            <w:tcW w:w="89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w:t>
            </w:r>
          </w:p>
        </w:tc>
      </w:tr>
      <w:tr>
        <w:trPr>
          <w:cantSplit/>
        </w:trPr>
        <w:tc>
          <w:tcPr>
            <w:tcW w:w="5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ФОТ проектной команды (маркетолог + аналитик + дизайнер, с налогами)</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2,75</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5,50</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8,25</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16,50</w:t>
            </w:r>
          </w:p>
        </w:tc>
      </w:tr>
      <w:tr>
        <w:trPr>
          <w:cantSplit/>
        </w:trPr>
        <w:tc>
          <w:tcPr>
            <w:tcW w:w="5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 и ROI-калькулятор</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r>
      <w:tr>
        <w:trPr>
          <w:cantSplit/>
        </w:trPr>
        <w:tc>
          <w:tcPr>
            <w:tcW w:w="5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Брендинг отдельной платформы Face2 и SMM</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r>
      <w:tr>
        <w:trPr>
          <w:cantSplit/>
        </w:trPr>
        <w:tc>
          <w:tcPr>
            <w:tcW w:w="5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Контентная студия и производство кейсов</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0,50</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0,50</w:t>
            </w:r>
          </w:p>
        </w:tc>
      </w:tr>
      <w:tr>
        <w:trPr>
          <w:cantSplit/>
        </w:trPr>
        <w:tc>
          <w:tcPr>
            <w:tcW w:w="5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Перформанс-реклама и SMM-продвижение</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4,00</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8,00</w:t>
            </w:r>
          </w:p>
        </w:tc>
      </w:tr>
      <w:tr>
        <w:trPr>
          <w:cantSplit/>
        </w:trPr>
        <w:tc>
          <w:tcPr>
            <w:tcW w:w="5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выставки и конференции (≈ 0,3 млн руб./мероприятие)</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0,60</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1,20</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1,20</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r>
      <w:tr>
        <w:trPr>
          <w:cantSplit/>
        </w:trPr>
        <w:tc>
          <w:tcPr>
            <w:tcW w:w="5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сертификация (NIST FRTE, iBeta Level 2)</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w:t>
            </w:r>
          </w:p>
        </w:tc>
      </w:tr>
      <w:tr>
        <w:trPr>
          <w:cantSplit/>
        </w:trPr>
        <w:tc>
          <w:tcPr>
            <w:tcW w:w="5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(NPS, отзывы, кейс-стади)</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r>
      <w:tr>
        <w:trPr>
          <w:cantSplit/>
        </w:trPr>
        <w:tc>
          <w:tcPr>
            <w:tcW w:w="5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за фазу</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8,35</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10,70</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14,95</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34,00</w:t>
            </w:r>
          </w:p>
        </w:tc>
      </w:tr>
      <w:tr>
        <w:trPr>
          <w:cantSplit/>
        </w:trPr>
        <w:tc>
          <w:tcPr>
            <w:tcW w:w="5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Кумулятивный бюджет</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8,35</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19,05</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34,00</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фонд оплаты труда команды, стоимость мероприятий и тарифные параметры опираются на состав проектной группы и публичные данные АО «ЦБТ»; значения подлежат уточнению финансовой службой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Структура расходов даёт три устойчивых наблюдения для подраздела 3.3.2. Во-первых, совокупный бюджет стратегии за 36 месяцев составляет 34,0 млн руб., из которых на разовые вложения (CAPEX) приходится 5,0 млн руб., а на текущие расходы (OPEX) — 29,0 млн руб. Во-вторых, нагрузка нарастает по фазам (8,35 → 10,70 → 14,95 млн руб.): фаза 1 несёт основную долю CAPEX (4,0 млн руб. — сайт, брендинг, студия, первая заявка на сертификацию) при умеренном OPEX, тогда как фазы 2 и 3 — преимущественно OPEX (фонд оплаты труда, перформанс-реклама, конференции). В-третьих, крупнейшая статья всего бюджета — фонд оплаты труда выделенной команды (16,5 млн руб., около 49 %), что отражает кадровый, а не рекламный характер затрат на вывод биометрического продукта в B2B.</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3.2. Комплекс маркетинговых мероприятий построен как операционная развёртка интегрированной push-pull-стратегии и разворачивается в шести подразделах: три направления продвижения (3.2.1), шесть отраслевых предложений (3.2.2), четыре группы каналов (3.2.3), контент и PR с линейкой из четырёх спикеров и планом независимой сертификации (3.2.4), трёхфазная логика реализации (3.2.5) и численный бюджет 34,0 млн руб. за 36 месяцев в разрезе CAPEX/OPEX по фазам (3.2.6). Восемь пробелов таблицы 2.3.5 распределены между подразделами 3.2 без пропусков и дублирования. Ожидаемый эффект — переход от точечной push-логики к интегрированной push-pull-логике, перевод регуляторного капитала в шесть отраслевых сообщений и публичную линейку спикеров, ввод банковской экосистемы (АБО — 930 тыс. пользователей, «Карта жителя РТ» — 450 131 карта, 166 офисов) как самостоятельного pull-канала. Численная оценка эффекта, KPI, риски и оргплан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 Оценка эффективности предложенной стратегии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Методическая рамка оценки эффективности задаётся четырьмя утверждениями, фиксируемыми в начале подраздела с тем, чтобы избежать претензии о произвольности расчёта.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Первое — горизонт оценки. Стратегия оценивается на горизонте 36 месяцев, разделённом на три фазы по образцу таблицы 3.2.5: фаза активации (месяцы 1–6), фаза масштабирования (месяцы 7–18) и фаза закрепления (месяцы 19–36). Промежуточные точки контроля — окончания фаз; внутри фазы 1 предусмотрен дополнительный квартальный контроль (месяцы 3 и 6), что соответствует логике короткого цикла обратной связи на этапе запуска инфраструктуры привлечения лидов.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Второе — сценарность расчёта. Оценка выполняется в трёх сценариях — пессимистическом (Π), реалистическом (Р) и оптимистическом (О), различающихся предположениями о темпе масштабирования партнёрской сети, скорости получения независимых международных сертификаций (NIST FRTE, iBeta Level 2), конверсии посетителя face2.ru в заявку и конверсии пилотов во внедрения. Сценарность согласована с указанием на гибкость ценовой и коммуникационной стратегии в условиях неопределённости рынка [18, с. 5; 10, с. 156] и работает на снижение риска переоценки эффекта.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Третье — типология метрик. Используются четыре типа KPI, последовательно соответствующие этапам маркетинговой воронки из таблицы 1.2.4 параграфа 1.2: метрики охвата (audience metrics) — уникальные посетители face2.ru, медиа-охват, число подписчиков отдельного бренда Face2 в социальных сетях, цитируемость в деловых СМИ; метрики вовлечения (engagement metrics) — число входящих обращений, загрузки типовых коммерческих предложений по шести сегментам, средний скоринг лидов; метрики конверсии (conversion metrics) — доля пилотных проектов от лидов, доля внедрений от пилотов, средний цикл сделки по двум уровням продаж; метрики коммерческого результата (revenue metrics) — выручка по уровням продаж из таблицы 2.1.4, средний чек подключения, ROI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Четвёртое — методические ограничения, фиксируемые открыто. Их три. Во-первых, отсутствие публичных бенчмарков по конверсии в B2B-биометрии в Российской Федерации, что требует опоры на общеотраслевые бенчмарки B2B-маркетинга и на экспертную оценку автора с возможностью её последующего уточнения маркетинговой службой банка. Во-вторых, неопределённость отклика рынка на pull-инструменты в первый год после их запуска, что требует обязательного контроля по итогам фазы 1 с правом доработки предложений и посадочных страниц. В-третьих, отсутствие у автора доступа к внутренним данным управленческой отчётности ПАО «Ак Барс Банк» по продажам Face2 за прошлые периоды, что требует опоры на публичные источники [27; 26; 32; 37; 34] и на бенчмарки лидеров рынка [38; 40; 41] при формировании сценарных предпосылок.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перечисленной методической рамки система KPI стратегии формируется как двумерная матрица, в строках которой расположены три направления продвижения из таблицы 3.2.1, а в столбцах — этапы маркетинговой воронки из таблицы 1.2.4 (Осведомлённость, Интерес, Доверие, Пилот, Принятие, Лояльность). Каждая клетка матрицы содержит KPI, измеряющий продвижение соответствующей аудитории по соответствующему этапу. Сводная система KPI представлена в таблице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 KPI стратегии продвижения Face2 по этапам воронки и направлениям продвижения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61"/>
        <w:gridCol w:w="2258"/>
        <w:gridCol w:w="4517"/>
      </w:tblGrid>
      <w:tr>
        <w:trPr>
          <w:tblHeader/>
          <w:cantSplit/>
        </w:trPr>
        <w:tc>
          <w:tcPr>
            <w:tcW w:w="28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225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45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KPI</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Цитируемость в деловых СМИ; число публикаций экспертного контента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входящих RFP; число запросов на демо</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подтверждённых референсов; результаты NIST FRTE и iBeta Level 2</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активных пилотов; средняя длительность пилота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подписанных контрактов уровня 1; выручка КБС под ключ</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контрактов с расширением модулей; NPS клиентов уровня 1</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Уникальные посетители face2.ru; охват контекстной рекламы</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через CTA-механику; загрузки типовых КП по шести сегментам</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просмотров кейсового и регуляторного контента; CTR доказательного контента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подключений в пилотном статусе</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коммерческих подключений; выручка Face2Pay, Face2Pass, Face2Check-in</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продаж модулей; LTV подключённого объекта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в ЕБС через приложение АБО АББ; охват в «Карте жителя РТ»</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Активации Face2Pay в метрополитене; число первых транзакций</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транзакций; снижение оттока после первой неудачной попытки</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(этап не применим к B2C)</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активных пользователей; средняя частота транзакций на пользователя</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B2C; доля рекомендующих</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1.2.4, 3.2.1, [6, с. 64; 7, с. 64;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Каждый KPI таблицы 3.3.1 имеет три атрибута, фиксируемых в тексте: целевое значение в трёх сценариях на конец каждой фазы; метод измерения (внутренние логи face2.ru, инструменты медиа-мониторинга, CRM банка, отчётность маркетинговой службы); допущение о бенчмарке, на котором построено целевое значение. С учётом методического ограничения о численных значениях в качестве минимально достаточного набора (вариант, согласованный с принципом «связность с моделью важнее объёма чисел») фиксируются ориентиры по трём ключевым KPI каждого этапа воронки в реалистическом сценарии (Р). Для метрик охвата фазы 1 целевое значение по направлению Б — 5–15 тыс. уникальных посетителей face2.ru в месяц к концу фазы (от нулевой базы pull-канала); для метрик конверсии лидов в пилоты в направлениях А и Б — 5 % в реалистическом сценарии (типовой бенчмарк B2B-маркетинга, по [6, с. 64; 7, с. 64]), 2 % в пессимистическом и 8 % в оптимистическом; для метрик конверсии пилотов во внедрения — 45 % в реалистическом, 25 % в пессимистическом и 60 % в оптимистическом сценариях. Для метрик B2C направления В целевые значения назначаются от текущей базы 930 тыс. пользователей мобильного приложения АБО и 450 131 действующей «Карты жителя РТ» [26, с. 17, 29]. Полный свод целевых значений всех ключевых KPI по фазам в реалистическом сценарии — вместе с тремя качественными эффектами стратегии — вынесен в итоговую таблицу 3.3.8, завершающую настоящий параграф; она служит компактной панелью контроля, по которой комиссия и руководство банка могут проследить, какого уровня каждый показатель должен достичь к концу каждой фазы.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системы KPI с задачами стратегии 3.1.2 и пробелами таблицы 2.3.5 фиксируется явно. Каждая из семи задач 3.1.2 имеет адресный KPI: задача (а) уточнения позиционирования измеряется долей упоминаний с регуляторным акцентом на этапе «Доверие» в направлениях А и Б; задача (б) формирования отраслевых предложений — числом загрузок типовых коммерческих предложений по шести сегментам на этапе «Интерес» в направлении Б; задача (в) усиления коммуникации по № 572-ФЗ — числом просмотров регуляторного контента на этапе «Доверие» во всех трёх направлениях; задача (г) повышения федеральной узнаваемости — цитируемостью в деловых СМИ на этапе «Осведомлённость» в направлении А; задача (д) расширения доказательной базы — числом референс-кейсов в публичном доступе на этапе «Доверие» в направлениях А и Б; задача (е) развёртывания системы продвижения для двух уровней продаж — всем массивом метрик направлений А и Б; задача (ё) формирования системы показателей — самой таблицей 3.3.1 как методическим артефактом. Восемь пробелов из таблицы 2.3.5 закрываются метриками: канальный пробел (1) — долей выручки, привлечённой через pull-каналы (целевой рост с нулевого уровня до 30–50 % к концу фазы 3); контентный (2) — числом и охватом регуляторных публикаций нарастающим итогом; сегментный (3) — числом активных типовых КП и подключений в каждом из шести сегментов; доказательный (4) — двоичной метрикой получения сертификатов NIST FRTE и iBeta Level 2; пробел People (5) — числом публичных выступлений и цитат в СМИ по четырём ролям спикеров; конверсионный (6) — конверсией посетителя face2.ru в заявку (1,5–3 % в реалистическом сценарии); лояльностный (7) — NPS клиентов уровня 1 и долей повторных продаж модулей; географический (8) — долей заявок и подключений из субъектов Российской Федерации за пределами Республики Татарстан.</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Оценка экономического эффекта строится как сопоставление ожидаемой выручки стратегии с её бюджетом, разнесённым в таблице 3.2.6, и выражается в показателях ROI и срока окупаемости, дополненных дисконтированными показателями (ЧДД, PI, IRR, DPP), в трёх сценариях. Структура ожидаемой выручки следует двухуровневой модели продаж Face2, введённой в таблице 2.1.4 параграфа 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Себестоимость услуги для оператора КБС задаётся тарифами ГИС ЕБС (АО «ЦБТ», по состоянию на 29.01.2026) и служит нижней границей при формировании цены: биометрический СКУД — 25 руб. за сотрудника в год при безлимитном числе проходов, подтверждение возраста — 2,55 руб. за событие, идентификация для МФО и банков — 4 руб. за операцию. Конечному клиенту банк выставляет цену сверх тарифа ЕБС, включая оборудование, интеграцию, сопровождение и маржу; тарифы ЕБС используются в расчёте как база себестоимости и как обоснование маржинальности модели.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1 — продажа КБС под ключ — представлен моделью единичных крупных сделок длительного цикла. Целевые сегменты — банки и микрофинансовые организации со статусом оператора по № 115-ФЗ, государственные структуры с правом регистрации векторов в ЕБС, крупные корпорации с профильной аккредитацией. Доходность сделки складывается из лицензионных платежей за поставку программного контура КБС и платы за техническую поддержку и сопровождение. Средний чек сделки уровня 1 принимается равным 30 млн руб. (программный контур КБС, развёртывание, год технической поддержки) с опорой на структуру проекта КБС в технической документации Face2 [27; 28]; рынок ограничен — на 31.12.2025 в России аккредитовано порядка шестнадцати операторов, поэтому сделки уровня 1 единичны.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2 — подключение конечного объекта к КБС, размещённой у Ак Барс Банка (Face2Pay, Face2Pass, Face2Check-in) — представлен моделью массовых сделок короткого цикла и разделяется на две подгруппы по способу тарификации. Подгруппа 2А (биометрический СКУД промышленных предприятий, бизнес-центров, вузов) тарифицируется по числу сотрудников: 1 000 руб. за сотрудника единовременно в первый год (оборудование, интеграция, сопровождение и первый год обслуживания) и 300 руб. за сотрудника в год начиная со второго года. Подгруппа 2Б (ритейл и вендинг с возрастной верификацией, транспорт, гостеприимство) тарифицируется транзакционно, с опорой на публичный бенчмарк среднего чека биометрического платежа (770 руб.) и динамику биометрических операций — около 145,9 млн платежей за девять месяцев 2025 года [32; 34]; надбавка банка над тарифом ЕБС по такому объекту принимается в диапазоне 0,1–0,3 млн руб. в год. Третий уровень (B2C-слой) прямой выручки не приносит и обслуживает выручку уровня 2 через массовое использование сервисов.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Экономику подгруппы 2А удобно показать на типовом объекте масштаба внутренней инсталляции Face2 в самом банке — предприятии на 5 000 сотрудников (около 200 терминалов). При цене 1 000 руб. за сотрудника разовая выручка первого года составляет 5,0 млн руб., себестоимость ЕБС (25 руб. × 5 000) — 0,125 млн руб., валовая прибыль первого года — 4,875 млн руб. Со второго года объект приносит абонентскую плату 1,5 млн руб. (300 руб. × 5 000) при той же себестоимости 0,125 млн руб., то есть валовую прибыль 1,375 млн руб. при марже около 92 %. Низкая себестоимость ЕБС (25 руб. — лишь 2,5 % разовой платы) обеспечивает высокую маржинальность подключения и устойчивый рекуррентный доход.</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Сценарии различаются предпосылками: пессимистический (Π) исходит из медленного темпа масштабирования партнёрской сети, отсроченного получения сертификаций NIST FRTE и iBeta и низкой конверсии посетителя face2.ru в заявку; реалистический (Р) — из планового темпа масштабирования и получения сертификаций к концу фазы 2; оптимистический (О) — из ускоренного масштабирования, своевременного получения сертификаций и активного партнёрского отклика. Сценарии различаются и средним размером подключаемого СКУД-объекта подгруппы 2А: 1 000 сотрудников в Π (выручка первого года 1,0 млн руб.), 2 000 в Р (2,0 млн руб.) и 3 000 в О (3,0 млн руб.). Таблица 3.3.2 фиксирует сценарную развёртку выручки нарастающим итогом по двум уровням продаж и трём фазам реализации; признаётся выручка первого года подключённых объектов, рекуррентные поступления последующих лет в расчёт не включаются, что делает оценку консервативной.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Сценарная развёртка ожидаемой выручки стратегии продвижения Face2 (Π / Р / О), нарастающим итогом,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26"/>
        <w:gridCol w:w="1542"/>
        <w:gridCol w:w="1734"/>
        <w:gridCol w:w="1734"/>
      </w:tblGrid>
      <w:tr>
        <w:trPr>
          <w:tblHeader/>
          <w:cantSplit/>
        </w:trPr>
        <w:tc>
          <w:tcPr>
            <w:tcW w:w="462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 и параметр</w:t>
            </w:r>
          </w:p>
        </w:tc>
        <w:tc>
          <w:tcPr>
            <w:tcW w:w="154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(мес. 1–6)</w:t>
            </w:r>
          </w:p>
        </w:tc>
        <w:tc>
          <w:tcPr>
            <w:tcW w:w="17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(мес. 7–18)</w:t>
            </w:r>
          </w:p>
        </w:tc>
        <w:tc>
          <w:tcPr>
            <w:tcW w:w="17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(мес. 19–36)</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Уровень 1 (КБС под ключ), сделок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Уровень 2А (СКУД), объектов × 1,0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Уровень 2Б (транзакционные объекты)</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Итого выручка</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Уровень 1 (КБС под ключ), сделок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Уровень 2А (СКУД), объектов × 2,0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Уровень 2Б (транзакционные объекты)</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Итого выручка</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Уровень 1 (КБС под ключ), сделок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Уровень 2А (СКУД), объектов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228,0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Уровень 2Б (транзакционные объекты)</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75,0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240,0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Итого выручка</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183,0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558,0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2.1.4, 3.2.1, тарифам АО «ЦБТ» (29.01.2026) и [27; 32; 37; 34; 28; 29]; число объектов и средние чеки — расчётные допущения, подлежащие уточнению маркетинговой и финансовой службами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Расчёт показателя возврата на инвестиции выполняется по формуле (3.3.1):</w:t>
      </w:r>
    </w:p>
    <w:p>
      <w:pPr>
        <w:tabs>
          <w:tab w:val="center" w:pos="4819"/>
          <w:tab w:val="right" w:pos="9638"/>
        </w:tabs>
        <w:spacing w:before="120" w:after="120" w:line="360" w:lineRule="auto"/>
        <w:jc w:val="left"/>
        <w:rPr>
          <w:rFonts w:ascii="Times New Roman" w:hAnsi="Times New Roman" w:cs="Times New Roman" w:eastAsia="Times New Roman"/>
          <w:sz w:val="28"/>
          <w:szCs w:val="28"/>
          <w:lang w:val="ru-RU"/>
        </w:rPr>
      </w:pPr>
      <w:r>
        <w:tab/>
      </w:r>
      <w:r>
        <w:rPr>
          <w:rFonts w:ascii="Times New Roman" w:hAnsi="Times New Roman" w:cs="Times New Roman" w:eastAsia="Times New Roman"/>
          <w:i/>
          <w:iCs/>
          <w:color w:val="000000"/>
          <w:sz w:val="28"/>
          <w:szCs w:val="28"/>
          <w:lang w:val="ru-RU"/>
        </w:rPr>
        <w:t xml:space="preserve">ROI = (В − Б) / Б × 100 %</w:t>
      </w:r>
      <w:r>
        <w:tab/>
      </w:r>
      <w:r>
        <w:rPr>
          <w:rFonts w:ascii="Times New Roman" w:hAnsi="Times New Roman" w:cs="Times New Roman" w:eastAsia="Times New Roman"/>
          <w:color w:val="000000"/>
          <w:sz w:val="28"/>
          <w:szCs w:val="28"/>
          <w:lang w:val="ru-RU"/>
        </w:rPr>
        <w:t xml:space="preserve">(3.3.1)</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где </w:t>
      </w:r>
      <w:r>
        <w:rPr>
          <w:rFonts w:ascii="Times New Roman" w:hAnsi="Times New Roman" w:cs="Times New Roman" w:eastAsia="Times New Roman"/>
          <w:color w:val="000000"/>
          <w:sz w:val="28"/>
          <w:szCs w:val="28"/>
          <w:lang w:val="ru-RU"/>
        </w:rPr>
        <w:t xml:space="preserve">В — кумулятивная выручка стратегии за рассматриваемый горизонт, млн руб. (таблица 3.3.2);</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 кумулятивный бюджет стратегии за тот же горизонт, млн руб. (таблица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Расчёт ведётся кумулятивно по фазам в трёх сценариях. Срок окупаемости определяется как момент, в который кумулятивная выручка покрывает кумулятивный бюджет стратегии. Сводная карта расчёта ROI и срока окупаемости представлена в таблице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Сценарный расчёт ROI и срока окупаемости стратегии продвижения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84"/>
        <w:gridCol w:w="1927"/>
        <w:gridCol w:w="2313"/>
        <w:gridCol w:w="2313"/>
      </w:tblGrid>
      <w:tr>
        <w:trPr>
          <w:tblHeader/>
          <w:cantSplit/>
        </w:trPr>
        <w:tc>
          <w:tcPr>
            <w:tcW w:w="308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(конец мес. 6)</w:t>
            </w:r>
          </w:p>
        </w:tc>
        <w:tc>
          <w:tcPr>
            <w:tcW w:w="23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(конец мес. 18)</w:t>
            </w:r>
          </w:p>
        </w:tc>
        <w:tc>
          <w:tcPr>
            <w:tcW w:w="23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(конец мес. 36)</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Кумулятивный бюджет,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8,35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19,05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34,00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О,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183,0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558,0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−6,85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−14,55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−23,00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−2,35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+18,95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О,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+24,65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+163,95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+524,00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Π, %</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−82</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−76</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−68</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Р, %</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+312</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О, %</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+295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+861</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+1541</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 окупаемости</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 внутри фазы 1</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 достигнут (≈ мес. 7)</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 за горизонтом 36 мес.</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3.2.6,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Ключевой управленческий вопрос — сколько подключений окупает бюджет стратегии — решается через отношение бюджета к средней выручке с одного объекта (точка безубыточности), рассчитываемое по формуле (3.3.2):</w:t>
      </w:r>
    </w:p>
    <w:p>
      <w:pPr>
        <w:tabs>
          <w:tab w:val="center" w:pos="4819"/>
          <w:tab w:val="right" w:pos="9638"/>
        </w:tabs>
        <w:spacing w:before="120" w:after="120" w:line="360" w:lineRule="auto"/>
        <w:jc w:val="left"/>
        <w:rPr>
          <w:rFonts w:ascii="Times New Roman" w:hAnsi="Times New Roman" w:cs="Times New Roman" w:eastAsia="Times New Roman"/>
          <w:sz w:val="28"/>
          <w:szCs w:val="28"/>
          <w:lang w:val="ru-RU"/>
        </w:rPr>
      </w:pPr>
      <w:r>
        <w:tab/>
      </w:r>
      <w:r>
        <w:rPr>
          <w:rFonts w:ascii="Times New Roman" w:hAnsi="Times New Roman" w:cs="Times New Roman" w:eastAsia="Times New Roman"/>
          <w:i/>
          <w:iCs/>
          <w:color w:val="000000"/>
          <w:sz w:val="28"/>
          <w:szCs w:val="28"/>
          <w:lang w:val="ru-RU"/>
        </w:rPr>
        <w:t xml:space="preserve">N</w:t>
      </w:r>
      <w:r>
        <w:rPr>
          <w:rFonts w:ascii="Times New Roman" w:hAnsi="Times New Roman" w:cs="Times New Roman" w:eastAsia="Times New Roman"/>
          <w:i/>
          <w:iCs/>
          <w:color w:val="000000"/>
          <w:sz w:val="28"/>
          <w:szCs w:val="28"/>
          <w:vertAlign w:val="subscript"/>
          <w:lang w:val="ru-RU"/>
        </w:rPr>
        <w:t xml:space="preserve">б</w:t>
      </w:r>
      <w:r>
        <w:rPr>
          <w:rFonts w:ascii="Times New Roman" w:hAnsi="Times New Roman" w:cs="Times New Roman" w:eastAsia="Times New Roman"/>
          <w:i/>
          <w:iCs/>
          <w:color w:val="000000"/>
          <w:sz w:val="28"/>
          <w:szCs w:val="28"/>
          <w:lang w:val="ru-RU"/>
        </w:rPr>
        <w:t xml:space="preserve">езуб = Б / В</w:t>
      </w:r>
      <w:r>
        <w:rPr>
          <w:rFonts w:ascii="Times New Roman" w:hAnsi="Times New Roman" w:cs="Times New Roman" w:eastAsia="Times New Roman"/>
          <w:i/>
          <w:iCs/>
          <w:color w:val="000000"/>
          <w:sz w:val="28"/>
          <w:szCs w:val="28"/>
          <w:vertAlign w:val="subscript"/>
          <w:lang w:val="ru-RU"/>
        </w:rPr>
        <w:t xml:space="preserve">о</w:t>
      </w:r>
      <w:r>
        <w:rPr>
          <w:rFonts w:ascii="Times New Roman" w:hAnsi="Times New Roman" w:cs="Times New Roman" w:eastAsia="Times New Roman"/>
          <w:i/>
          <w:iCs/>
          <w:color w:val="000000"/>
          <w:sz w:val="28"/>
          <w:szCs w:val="28"/>
          <w:lang w:val="ru-RU"/>
        </w:rPr>
        <w:t xml:space="preserve">б</w:t>
      </w:r>
      <w:r>
        <w:tab/>
      </w:r>
      <w:r>
        <w:rPr>
          <w:rFonts w:ascii="Times New Roman" w:hAnsi="Times New Roman" w:cs="Times New Roman" w:eastAsia="Times New Roman"/>
          <w:color w:val="000000"/>
          <w:sz w:val="28"/>
          <w:szCs w:val="28"/>
          <w:lang w:val="ru-RU"/>
        </w:rPr>
        <w:t xml:space="preserve">(3.3.2)</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где </w:t>
      </w:r>
      <w:r>
        <w:rPr>
          <w:rFonts w:ascii="Times New Roman" w:hAnsi="Times New Roman" w:cs="Times New Roman" w:eastAsia="Times New Roman"/>
          <w:color w:val="000000"/>
          <w:sz w:val="28"/>
          <w:szCs w:val="28"/>
          <w:lang w:val="ru-RU"/>
        </w:rPr>
        <w:t xml:space="preserve">N</w:t>
      </w:r>
      <w:r>
        <w:rPr>
          <w:rFonts w:ascii="Times New Roman" w:hAnsi="Times New Roman" w:cs="Times New Roman" w:eastAsia="Times New Roman"/>
          <w:color w:val="000000"/>
          <w:sz w:val="28"/>
          <w:szCs w:val="28"/>
          <w:vertAlign w:val="subscript"/>
          <w:lang w:val="ru-RU"/>
        </w:rPr>
        <w:t xml:space="preserve">б</w:t>
      </w:r>
      <w:r>
        <w:rPr>
          <w:rFonts w:ascii="Times New Roman" w:hAnsi="Times New Roman" w:cs="Times New Roman" w:eastAsia="Times New Roman"/>
          <w:color w:val="000000"/>
          <w:sz w:val="28"/>
          <w:szCs w:val="28"/>
          <w:lang w:val="ru-RU"/>
        </w:rPr>
        <w:t xml:space="preserve">езуб — число подключённых объектов, при котором выручка покрывает бюджет, ед.;</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 бюджет стратегии (или её фазы), млн руб. (таблица 3.2.6);</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w:t>
      </w:r>
      <w:r>
        <w:rPr>
          <w:rFonts w:ascii="Times New Roman" w:hAnsi="Times New Roman" w:cs="Times New Roman" w:eastAsia="Times New Roman"/>
          <w:color w:val="000000"/>
          <w:sz w:val="28"/>
          <w:szCs w:val="28"/>
          <w:vertAlign w:val="subscript"/>
          <w:lang w:val="ru-RU"/>
        </w:rPr>
        <w:t xml:space="preserve">о</w:t>
      </w:r>
      <w:r>
        <w:rPr>
          <w:rFonts w:ascii="Times New Roman" w:hAnsi="Times New Roman" w:cs="Times New Roman" w:eastAsia="Times New Roman"/>
          <w:color w:val="000000"/>
          <w:sz w:val="28"/>
          <w:szCs w:val="28"/>
          <w:lang w:val="ru-RU"/>
        </w:rPr>
        <w:t xml:space="preserve">б — средняя выручка первого года с одного объекта, млн руб. (таблица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 полном бюджете 34,0 млн руб. безубыточность достигается на семнадцати СКУД-объектах подгруппы 2А реалистического масштаба (2 000 сотрудников, 2,0 млн руб. выручки первого года), либо на семи типовых объектах масштаба 5 000 сотрудников (5,0 млн руб.), либо на тридцати четырёх малых объектах по 1 000 сотрудников (1,0 млн руб.). В пересчёте на сотрудников бюджет окупается 34 000 подключёнными сотрудниками (34,0 млн руб. ÷ 1 000 руб.). Бюджет фазы активации (8,35 млн руб.) окупается уже менее чем двумя типовыми объектами по 5 000 сотрудников или примерно четырьмя объектами реалистического масштаба. По уровню 1 одна сделка КБС под ключ (30 млн руб.) покрывает около 88 % всего трёхлетнего бюджета стратегии. Таким образом, нижняя граница коммерческой результативности стратегии — одна сделка уровня 1 либо порядка семнадцати СКУД-объектов уровня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Сводно расчёт показывает, что стратегия окупается уже в реалистическом сценарии: кумулятивная выручка покрывает кумулятивный бюджет ориентировочно к седьмому месяцу, а к концу горизонта ROI достигает +312 %. В оптимистическом сценарии окупаемость наступает внутри фазы активации за счёт раннего подключения крупных СКУД-объектов и сделки уровня 1 (ROI +1541 %). Пессимистический сценарий за 36 месяцев в безубыточность не выходит (ROI −68 %), что фиксирует нижнюю границу риска и обосновывает обязательный контроль по итогам фазы 1 с правом доработки предложений и посадочных страниц. Высокая маржинальность модели (себестоимость ЕБС 25 руб. на сотрудника в год против разовой платы 1 000 руб. и абонентской 300 руб.) обеспечивает устойчивый рекуррентный доход со второго года, а ограниченность рынка уровня 1 подтверждает выбор уровня 2 как основного источника объёма.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численного ROI стратегия даёт три качественных типа эффекта, не входящих в численную оценку, но фиксируемых как самостоятельные результаты. Первый — косвенный эффект для основной деятельности банка: переток клиентов в банковскую экосистему через Face2Pay, рост платёжных оборотов АББ через биоэквайринг по СБП, прирост аудитории мобильного приложения АБО за счёт сценариев регистрации в ЕБС и закрепление позиций АББ в транспортных проектах [26, с. 17, 30–31]. Второй — имиджевый и стратегический эффект: закрепление статуса федерального игрока на рынке биометрии, увеличение премии оценки бренда банка за счёт расширения референсной базы и возможность переноса разработанной коммуникационной модели на другие продукты ИТ-портфеля АББ. Третий — регуляторный эффект: закрепление статуса аккредитованного оператора КБС за счёт публичной регуляторной коммуникации (подраздел 3.2.4) и снижение риска утраты статуса при ужесточении подзаконных актов № 572-ФЗ [2; 3; 4]. Косвенный, имиджевый и регуляторный эффекты не входят в формальный расчёт ROI, но образуют дополнительный пласт обоснования экономической целесообразности стратегии и работают на снижение претензии о недостаточности численного эффекта в коротком горизонте.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Показатель ROI отражает простое отношение результата к затратам, но не учитывает разную ценность денег в разные периоды трёхлетнего горизонта. Поскольку основная выручка стратегии приходится на фазы 2 и 3, а затраты — преимущественно на фазу 1, для корректной оценки эффективности расчёт дополняется дисконтированными показателями: чистым дисконтированным доходом (ЧДД, NPV), индексом прибыльности (PI), внутренней нормой доходности (ВНД, IRR) и дисконтированным сроком окупаемости (DPP). Расчёт ведётся по приростному денежному потоку: учитываются только доходы и расходы, возникающие в результате реализации стратегии. Денежный поток фазы определяется как разность валовой прибыли от приростной выручки и бюджета фазы; валовая прибыль принимается на консервативном уровне 60 % приростной выручки, что согласуется с маржинальностью модели подключения (себестоимость ЕБС — лишь около 2,5 % разовой платы за подключение объекта уровня 2) и одновременно покрывает не относимые к бюджету продвижения расходы на оказание услуги — оборудование, интеграцию и сопровождение.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Чистый дисконтированный доход рассчитывается по классической формуле оценки эффективности инвестиций (3.3.3):</w:t>
      </w:r>
    </w:p>
    <w:p>
      <w:pPr>
        <w:tabs>
          <w:tab w:val="center" w:pos="4819"/>
          <w:tab w:val="right" w:pos="9638"/>
        </w:tabs>
        <w:spacing w:before="120" w:after="120" w:line="360" w:lineRule="auto"/>
        <w:jc w:val="left"/>
        <w:rPr>
          <w:rFonts w:ascii="Times New Roman" w:hAnsi="Times New Roman" w:cs="Times New Roman" w:eastAsia="Times New Roman"/>
          <w:sz w:val="28"/>
          <w:szCs w:val="28"/>
          <w:lang w:val="ru-RU"/>
        </w:rPr>
      </w:pPr>
      <w:r>
        <w:tab/>
      </w:r>
      <w:r>
        <w:rPr>
          <w:rFonts w:ascii="Times New Roman" w:hAnsi="Times New Roman" w:cs="Times New Roman" w:eastAsia="Times New Roman"/>
          <w:i/>
          <w:iCs/>
          <w:color w:val="000000"/>
          <w:sz w:val="28"/>
          <w:szCs w:val="28"/>
          <w:lang w:val="ru-RU"/>
        </w:rPr>
        <w:t xml:space="preserve">ЧДД = Σ CF</w:t>
      </w:r>
      <w:r>
        <w:rPr>
          <w:rFonts w:ascii="Times New Roman" w:hAnsi="Times New Roman" w:cs="Times New Roman" w:eastAsia="Times New Roman"/>
          <w:i/>
          <w:iCs/>
          <w:color w:val="000000"/>
          <w:sz w:val="28"/>
          <w:szCs w:val="28"/>
          <w:vertAlign w:val="subscript"/>
          <w:lang w:val="ru-RU"/>
        </w:rPr>
        <w:t xml:space="preserve">t</w:t>
      </w:r>
      <w:r>
        <w:rPr>
          <w:rFonts w:ascii="Times New Roman" w:hAnsi="Times New Roman" w:cs="Times New Roman" w:eastAsia="Times New Roman"/>
          <w:i/>
          <w:iCs/>
          <w:color w:val="000000"/>
          <w:sz w:val="28"/>
          <w:szCs w:val="28"/>
          <w:lang w:val="ru-RU"/>
        </w:rPr>
        <w:t xml:space="preserve"> / (1 + r)</w:t>
      </w:r>
      <w:r>
        <w:rPr>
          <w:rFonts w:ascii="Times New Roman" w:hAnsi="Times New Roman" w:cs="Times New Roman" w:eastAsia="Times New Roman"/>
          <w:i/>
          <w:iCs/>
          <w:color w:val="000000"/>
          <w:sz w:val="28"/>
          <w:szCs w:val="28"/>
          <w:vertAlign w:val="superscript"/>
          <w:lang w:val="ru-RU"/>
        </w:rPr>
        <w:t xml:space="preserve">t</w:t>
      </w:r>
      <w:r>
        <w:rPr>
          <w:rFonts w:ascii="Times New Roman" w:hAnsi="Times New Roman" w:cs="Times New Roman" w:eastAsia="Times New Roman"/>
          <w:i/>
          <w:iCs/>
          <w:color w:val="000000"/>
          <w:sz w:val="28"/>
          <w:szCs w:val="28"/>
          <w:lang w:val="ru-RU"/>
        </w:rPr>
        <w:t xml:space="preserve"> − Б</w:t>
      </w:r>
      <w:r>
        <w:rPr>
          <w:rFonts w:ascii="Times New Roman" w:hAnsi="Times New Roman" w:cs="Times New Roman" w:eastAsia="Times New Roman"/>
          <w:i/>
          <w:iCs/>
          <w:color w:val="000000"/>
          <w:sz w:val="28"/>
          <w:szCs w:val="28"/>
          <w:vertAlign w:val="subscript"/>
          <w:lang w:val="ru-RU"/>
        </w:rPr>
        <w:t xml:space="preserve">0</w:t>
      </w:r>
      <w:r>
        <w:tab/>
      </w:r>
      <w:r>
        <w:rPr>
          <w:rFonts w:ascii="Times New Roman" w:hAnsi="Times New Roman" w:cs="Times New Roman" w:eastAsia="Times New Roman"/>
          <w:color w:val="000000"/>
          <w:sz w:val="28"/>
          <w:szCs w:val="28"/>
          <w:lang w:val="ru-RU"/>
        </w:rPr>
        <w:t xml:space="preserve">(3.3.3)</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где </w:t>
      </w:r>
      <w:r>
        <w:rPr>
          <w:rFonts w:ascii="Times New Roman" w:hAnsi="Times New Roman" w:cs="Times New Roman" w:eastAsia="Times New Roman"/>
          <w:color w:val="000000"/>
          <w:sz w:val="28"/>
          <w:szCs w:val="28"/>
          <w:lang w:val="ru-RU"/>
        </w:rPr>
        <w:t xml:space="preserve">ЧДД — чистый дисконтированный доход стратегии, млн руб.;</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CF</w:t>
      </w:r>
      <w:r>
        <w:rPr>
          <w:rFonts w:ascii="Times New Roman" w:hAnsi="Times New Roman" w:cs="Times New Roman" w:eastAsia="Times New Roman"/>
          <w:color w:val="000000"/>
          <w:sz w:val="28"/>
          <w:szCs w:val="28"/>
          <w:vertAlign w:val="subscript"/>
          <w:lang w:val="ru-RU"/>
        </w:rPr>
        <w:t xml:space="preserve">t</w:t>
      </w:r>
      <w:r>
        <w:rPr>
          <w:rFonts w:ascii="Times New Roman" w:hAnsi="Times New Roman" w:cs="Times New Roman" w:eastAsia="Times New Roman"/>
          <w:color w:val="000000"/>
          <w:sz w:val="28"/>
          <w:szCs w:val="28"/>
          <w:lang w:val="ru-RU"/>
        </w:rPr>
        <w:t xml:space="preserve"> — денежный поток фазы t (валовая прибыль за вычетом бюджета фазы), млн руб.;</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r — ставка дисконтирования (r = 0,16);</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t — момент окончания фазы в годах (t = 0,5; 1,5; 3,0);</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w:t>
      </w:r>
      <w:r>
        <w:rPr>
          <w:rFonts w:ascii="Times New Roman" w:hAnsi="Times New Roman" w:cs="Times New Roman" w:eastAsia="Times New Roman"/>
          <w:color w:val="000000"/>
          <w:sz w:val="28"/>
          <w:szCs w:val="28"/>
          <w:vertAlign w:val="subscript"/>
          <w:lang w:val="ru-RU"/>
        </w:rPr>
        <w:t xml:space="preserve">0</w:t>
      </w:r>
      <w:r>
        <w:rPr>
          <w:rFonts w:ascii="Times New Roman" w:hAnsi="Times New Roman" w:cs="Times New Roman" w:eastAsia="Times New Roman"/>
          <w:color w:val="000000"/>
          <w:sz w:val="28"/>
          <w:szCs w:val="28"/>
          <w:lang w:val="ru-RU"/>
        </w:rPr>
        <w:t xml:space="preserve"> — приведённые к началу затраты фазы активации, учтённые в CF</w:t>
      </w:r>
      <w:r>
        <w:rPr>
          <w:rFonts w:ascii="Times New Roman" w:hAnsi="Times New Roman" w:cs="Times New Roman" w:eastAsia="Times New Roman"/>
          <w:color w:val="000000"/>
          <w:sz w:val="28"/>
          <w:szCs w:val="28"/>
          <w:vertAlign w:val="subscript"/>
          <w:lang w:val="ru-RU"/>
        </w:rPr>
        <w:t xml:space="preserve">t</w:t>
      </w:r>
      <w:r>
        <w:rPr>
          <w:rFonts w:ascii="Times New Roman" w:hAnsi="Times New Roman" w:cs="Times New Roman" w:eastAsia="Times New Roman"/>
          <w:color w:val="000000"/>
          <w:sz w:val="28"/>
          <w:szCs w:val="28"/>
          <w:lang w:val="ru-RU"/>
        </w:rPr>
        <w:t xml:space="preserve">, млн руб.</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Ставка дисконтирования принята на уровне r = 16 % годовых и складывается из ключевой ставки Банка России (14,5 % на момент расчёта, упоминается в подразделе 1.1) и премии за риск инновационного маркетингового проекта в нише биометрии (1,5 процентного пункта за неопределённость отклика рынка на pull-инструменты, отсутствие публичных бенчмарков по конверсии в B2B-биометрии и сценарную нестабильность темпа масштабирования — те же три ограничения, что зафиксированы в начале подраздела). Индекс прибыльности и дисконтированный срок окупаемости рассчитываются по формулам (3.3.4) и (3.3.5):</w:t>
      </w:r>
    </w:p>
    <w:p>
      <w:pPr>
        <w:tabs>
          <w:tab w:val="center" w:pos="4819"/>
          <w:tab w:val="right" w:pos="9638"/>
        </w:tabs>
        <w:spacing w:before="120" w:after="120" w:line="360" w:lineRule="auto"/>
        <w:jc w:val="left"/>
        <w:rPr>
          <w:rFonts w:ascii="Times New Roman" w:hAnsi="Times New Roman" w:cs="Times New Roman" w:eastAsia="Times New Roman"/>
          <w:sz w:val="28"/>
          <w:szCs w:val="28"/>
          <w:lang w:val="ru-RU"/>
        </w:rPr>
      </w:pPr>
      <w:r>
        <w:tab/>
      </w:r>
      <w:r>
        <w:rPr>
          <w:rFonts w:ascii="Times New Roman" w:hAnsi="Times New Roman" w:cs="Times New Roman" w:eastAsia="Times New Roman"/>
          <w:i/>
          <w:iCs/>
          <w:color w:val="000000"/>
          <w:sz w:val="28"/>
          <w:szCs w:val="28"/>
          <w:lang w:val="ru-RU"/>
        </w:rPr>
        <w:t xml:space="preserve">PI = (Σ CF</w:t>
      </w:r>
      <w:r>
        <w:rPr>
          <w:rFonts w:ascii="Times New Roman" w:hAnsi="Times New Roman" w:cs="Times New Roman" w:eastAsia="Times New Roman"/>
          <w:i/>
          <w:iCs/>
          <w:color w:val="000000"/>
          <w:sz w:val="28"/>
          <w:szCs w:val="28"/>
          <w:vertAlign w:val="subscript"/>
          <w:lang w:val="ru-RU"/>
        </w:rPr>
        <w:t xml:space="preserve">t</w:t>
      </w:r>
      <w:r>
        <w:rPr>
          <w:rFonts w:ascii="Times New Roman" w:hAnsi="Times New Roman" w:cs="Times New Roman" w:eastAsia="Times New Roman"/>
          <w:i/>
          <w:iCs/>
          <w:color w:val="000000"/>
          <w:sz w:val="28"/>
          <w:szCs w:val="28"/>
          <w:vertAlign w:val="superscript"/>
          <w:lang w:val="ru-RU"/>
        </w:rPr>
        <w:t xml:space="preserve">+</w:t>
      </w:r>
      <w:r>
        <w:rPr>
          <w:rFonts w:ascii="Times New Roman" w:hAnsi="Times New Roman" w:cs="Times New Roman" w:eastAsia="Times New Roman"/>
          <w:i/>
          <w:iCs/>
          <w:color w:val="000000"/>
          <w:sz w:val="28"/>
          <w:szCs w:val="28"/>
          <w:lang w:val="ru-RU"/>
        </w:rPr>
        <w:t xml:space="preserve"> / (1 + r)</w:t>
      </w:r>
      <w:r>
        <w:rPr>
          <w:rFonts w:ascii="Times New Roman" w:hAnsi="Times New Roman" w:cs="Times New Roman" w:eastAsia="Times New Roman"/>
          <w:i/>
          <w:iCs/>
          <w:color w:val="000000"/>
          <w:sz w:val="28"/>
          <w:szCs w:val="28"/>
          <w:vertAlign w:val="superscript"/>
          <w:lang w:val="ru-RU"/>
        </w:rPr>
        <w:t xml:space="preserve">t</w:t>
      </w:r>
      <w:r>
        <w:rPr>
          <w:rFonts w:ascii="Times New Roman" w:hAnsi="Times New Roman" w:cs="Times New Roman" w:eastAsia="Times New Roman"/>
          <w:i/>
          <w:iCs/>
          <w:color w:val="000000"/>
          <w:sz w:val="28"/>
          <w:szCs w:val="28"/>
          <w:lang w:val="ru-RU"/>
        </w:rPr>
        <w:t xml:space="preserve">) / (Σ |CF</w:t>
      </w:r>
      <w:r>
        <w:rPr>
          <w:rFonts w:ascii="Times New Roman" w:hAnsi="Times New Roman" w:cs="Times New Roman" w:eastAsia="Times New Roman"/>
          <w:i/>
          <w:iCs/>
          <w:color w:val="000000"/>
          <w:sz w:val="28"/>
          <w:szCs w:val="28"/>
          <w:vertAlign w:val="subscript"/>
          <w:lang w:val="ru-RU"/>
        </w:rPr>
        <w:t xml:space="preserve">t</w:t>
      </w:r>
      <w:r>
        <w:rPr>
          <w:rFonts w:ascii="Times New Roman" w:hAnsi="Times New Roman" w:cs="Times New Roman" w:eastAsia="Times New Roman"/>
          <w:i/>
          <w:iCs/>
          <w:color w:val="000000"/>
          <w:sz w:val="28"/>
          <w:szCs w:val="28"/>
          <w:vertAlign w:val="superscript"/>
          <w:lang w:val="ru-RU"/>
        </w:rPr>
        <w:t xml:space="preserve">−</w:t>
      </w:r>
      <w:r>
        <w:rPr>
          <w:rFonts w:ascii="Times New Roman" w:hAnsi="Times New Roman" w:cs="Times New Roman" w:eastAsia="Times New Roman"/>
          <w:i/>
          <w:iCs/>
          <w:color w:val="000000"/>
          <w:sz w:val="28"/>
          <w:szCs w:val="28"/>
          <w:lang w:val="ru-RU"/>
        </w:rPr>
        <w:t xml:space="preserve">| / (1 + r)</w:t>
      </w:r>
      <w:r>
        <w:rPr>
          <w:rFonts w:ascii="Times New Roman" w:hAnsi="Times New Roman" w:cs="Times New Roman" w:eastAsia="Times New Roman"/>
          <w:i/>
          <w:iCs/>
          <w:color w:val="000000"/>
          <w:sz w:val="28"/>
          <w:szCs w:val="28"/>
          <w:vertAlign w:val="superscript"/>
          <w:lang w:val="ru-RU"/>
        </w:rPr>
        <w:t xml:space="preserve">t</w:t>
      </w:r>
      <w:r>
        <w:rPr>
          <w:rFonts w:ascii="Times New Roman" w:hAnsi="Times New Roman" w:cs="Times New Roman" w:eastAsia="Times New Roman"/>
          <w:i/>
          <w:iCs/>
          <w:color w:val="000000"/>
          <w:sz w:val="28"/>
          <w:szCs w:val="28"/>
          <w:lang w:val="ru-RU"/>
        </w:rPr>
        <w:t xml:space="preserve">)</w:t>
      </w:r>
      <w:r>
        <w:tab/>
      </w:r>
      <w:r>
        <w:rPr>
          <w:rFonts w:ascii="Times New Roman" w:hAnsi="Times New Roman" w:cs="Times New Roman" w:eastAsia="Times New Roman"/>
          <w:color w:val="000000"/>
          <w:sz w:val="28"/>
          <w:szCs w:val="28"/>
          <w:lang w:val="ru-RU"/>
        </w:rPr>
        <w:t xml:space="preserve">(3.3.4)</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где </w:t>
      </w:r>
      <w:r>
        <w:rPr>
          <w:rFonts w:ascii="Times New Roman" w:hAnsi="Times New Roman" w:cs="Times New Roman" w:eastAsia="Times New Roman"/>
          <w:color w:val="000000"/>
          <w:sz w:val="28"/>
          <w:szCs w:val="28"/>
          <w:lang w:val="ru-RU"/>
        </w:rPr>
        <w:t xml:space="preserve">CF</w:t>
      </w:r>
      <w:r>
        <w:rPr>
          <w:rFonts w:ascii="Times New Roman" w:hAnsi="Times New Roman" w:cs="Times New Roman" w:eastAsia="Times New Roman"/>
          <w:color w:val="000000"/>
          <w:sz w:val="28"/>
          <w:szCs w:val="28"/>
          <w:vertAlign w:val="subscript"/>
          <w:lang w:val="ru-RU"/>
        </w:rPr>
        <w:t xml:space="preserve">t</w:t>
      </w:r>
      <w:r>
        <w:rPr>
          <w:rFonts w:ascii="Times New Roman" w:hAnsi="Times New Roman" w:cs="Times New Roman" w:eastAsia="Times New Roman"/>
          <w:color w:val="000000"/>
          <w:sz w:val="28"/>
          <w:szCs w:val="28"/>
          <w:vertAlign w:val="superscript"/>
          <w:lang w:val="ru-RU"/>
        </w:rPr>
        <w:t xml:space="preserve">+</w:t>
      </w:r>
      <w:r>
        <w:rPr>
          <w:rFonts w:ascii="Times New Roman" w:hAnsi="Times New Roman" w:cs="Times New Roman" w:eastAsia="Times New Roman"/>
          <w:color w:val="000000"/>
          <w:sz w:val="28"/>
          <w:szCs w:val="28"/>
          <w:lang w:val="ru-RU"/>
        </w:rPr>
        <w:t xml:space="preserve"> — положительные денежные потоки фаз, млн руб.;</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CF</w:t>
      </w:r>
      <w:r>
        <w:rPr>
          <w:rFonts w:ascii="Times New Roman" w:hAnsi="Times New Roman" w:cs="Times New Roman" w:eastAsia="Times New Roman"/>
          <w:color w:val="000000"/>
          <w:sz w:val="28"/>
          <w:szCs w:val="28"/>
          <w:vertAlign w:val="subscript"/>
          <w:lang w:val="ru-RU"/>
        </w:rPr>
        <w:t xml:space="preserve">t</w:t>
      </w:r>
      <w:r>
        <w:rPr>
          <w:rFonts w:ascii="Times New Roman" w:hAnsi="Times New Roman" w:cs="Times New Roman" w:eastAsia="Times New Roman"/>
          <w:color w:val="000000"/>
          <w:sz w:val="28"/>
          <w:szCs w:val="28"/>
          <w:vertAlign w:val="superscript"/>
          <w:lang w:val="ru-RU"/>
        </w:rPr>
        <w:t xml:space="preserve">−</w:t>
      </w:r>
      <w:r>
        <w:rPr>
          <w:rFonts w:ascii="Times New Roman" w:hAnsi="Times New Roman" w:cs="Times New Roman" w:eastAsia="Times New Roman"/>
          <w:color w:val="000000"/>
          <w:sz w:val="28"/>
          <w:szCs w:val="28"/>
          <w:lang w:val="ru-RU"/>
        </w:rPr>
        <w:t xml:space="preserve"> — отрицательные денежные потоки фаз (затраты), млн руб.;</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r — ставка дисконтирования;</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t — момент окончания фазы в годах.</w:t>
      </w:r>
    </w:p>
    <w:p>
      <w:pPr>
        <w:tabs>
          <w:tab w:val="center" w:pos="4819"/>
          <w:tab w:val="right" w:pos="9638"/>
        </w:tabs>
        <w:spacing w:before="120" w:after="120" w:line="360" w:lineRule="auto"/>
        <w:jc w:val="left"/>
        <w:rPr>
          <w:rFonts w:ascii="Times New Roman" w:hAnsi="Times New Roman" w:cs="Times New Roman" w:eastAsia="Times New Roman"/>
          <w:sz w:val="28"/>
          <w:szCs w:val="28"/>
          <w:lang w:val="ru-RU"/>
        </w:rPr>
      </w:pPr>
      <w:r>
        <w:tab/>
      </w:r>
      <w:r>
        <w:rPr>
          <w:rFonts w:ascii="Times New Roman" w:hAnsi="Times New Roman" w:cs="Times New Roman" w:eastAsia="Times New Roman"/>
          <w:i/>
          <w:iCs/>
          <w:color w:val="000000"/>
          <w:sz w:val="28"/>
          <w:szCs w:val="28"/>
          <w:lang w:val="ru-RU"/>
        </w:rPr>
        <w:t xml:space="preserve">DPP = (k − 1) + |НДП</w:t>
      </w:r>
      <w:r>
        <w:rPr>
          <w:rFonts w:ascii="Times New Roman" w:hAnsi="Times New Roman" w:cs="Times New Roman" w:eastAsia="Times New Roman"/>
          <w:i/>
          <w:iCs/>
          <w:color w:val="000000"/>
          <w:sz w:val="28"/>
          <w:szCs w:val="28"/>
          <w:vertAlign w:val="subscript"/>
          <w:lang w:val="ru-RU"/>
        </w:rPr>
        <w:t xml:space="preserve">k−1</w:t>
      </w:r>
      <w:r>
        <w:rPr>
          <w:rFonts w:ascii="Times New Roman" w:hAnsi="Times New Roman" w:cs="Times New Roman" w:eastAsia="Times New Roman"/>
          <w:i/>
          <w:iCs/>
          <w:color w:val="000000"/>
          <w:sz w:val="28"/>
          <w:szCs w:val="28"/>
          <w:lang w:val="ru-RU"/>
        </w:rPr>
        <w:t xml:space="preserve">| / ДП</w:t>
      </w:r>
      <w:r>
        <w:rPr>
          <w:rFonts w:ascii="Times New Roman" w:hAnsi="Times New Roman" w:cs="Times New Roman" w:eastAsia="Times New Roman"/>
          <w:i/>
          <w:iCs/>
          <w:color w:val="000000"/>
          <w:sz w:val="28"/>
          <w:szCs w:val="28"/>
          <w:vertAlign w:val="subscript"/>
          <w:lang w:val="ru-RU"/>
        </w:rPr>
        <w:t xml:space="preserve">k</w:t>
      </w:r>
      <w:r>
        <w:tab/>
      </w:r>
      <w:r>
        <w:rPr>
          <w:rFonts w:ascii="Times New Roman" w:hAnsi="Times New Roman" w:cs="Times New Roman" w:eastAsia="Times New Roman"/>
          <w:color w:val="000000"/>
          <w:sz w:val="28"/>
          <w:szCs w:val="28"/>
          <w:lang w:val="ru-RU"/>
        </w:rPr>
        <w:t xml:space="preserve">(3.3.5)</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где </w:t>
      </w:r>
      <w:r>
        <w:rPr>
          <w:rFonts w:ascii="Times New Roman" w:hAnsi="Times New Roman" w:cs="Times New Roman" w:eastAsia="Times New Roman"/>
          <w:color w:val="000000"/>
          <w:sz w:val="28"/>
          <w:szCs w:val="28"/>
          <w:lang w:val="ru-RU"/>
        </w:rPr>
        <w:t xml:space="preserve">DPP — дисконтированный срок окупаемости, лет;</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k — номер фазы, в которой накопленный дисконтированный поток впервые становится неотрицательным;</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НДП</w:t>
      </w:r>
      <w:r>
        <w:rPr>
          <w:rFonts w:ascii="Times New Roman" w:hAnsi="Times New Roman" w:cs="Times New Roman" w:eastAsia="Times New Roman"/>
          <w:color w:val="000000"/>
          <w:sz w:val="28"/>
          <w:szCs w:val="28"/>
          <w:vertAlign w:val="subscript"/>
          <w:lang w:val="ru-RU"/>
        </w:rPr>
        <w:t xml:space="preserve">k−1</w:t>
      </w:r>
      <w:r>
        <w:rPr>
          <w:rFonts w:ascii="Times New Roman" w:hAnsi="Times New Roman" w:cs="Times New Roman" w:eastAsia="Times New Roman"/>
          <w:color w:val="000000"/>
          <w:sz w:val="28"/>
          <w:szCs w:val="28"/>
          <w:lang w:val="ru-RU"/>
        </w:rPr>
        <w:t xml:space="preserve"> — накопленный дисконтированный денежный поток на конец фазы k − 1, млн руб.;</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ДП</w:t>
      </w:r>
      <w:r>
        <w:rPr>
          <w:rFonts w:ascii="Times New Roman" w:hAnsi="Times New Roman" w:cs="Times New Roman" w:eastAsia="Times New Roman"/>
          <w:color w:val="000000"/>
          <w:sz w:val="28"/>
          <w:szCs w:val="28"/>
          <w:vertAlign w:val="subscript"/>
          <w:lang w:val="ru-RU"/>
        </w:rPr>
        <w:t xml:space="preserve">k</w:t>
      </w:r>
      <w:r>
        <w:rPr>
          <w:rFonts w:ascii="Times New Roman" w:hAnsi="Times New Roman" w:cs="Times New Roman" w:eastAsia="Times New Roman"/>
          <w:color w:val="000000"/>
          <w:sz w:val="28"/>
          <w:szCs w:val="28"/>
          <w:lang w:val="ru-RU"/>
        </w:rPr>
        <w:t xml:space="preserve"> — дисконтированный денежный поток фазы k, млн руб.</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Внутренняя норма доходности IRR определяется как ставка, при которой ЧДД обращается в нуль (ЧДД(IRR) = 0); находится численно. Проект экономически целесообразен при ЧДД &gt; 0, PI &gt; 1, IRR &gt; r и DPP в пределах горизонта планирования. Результаты расчёта приростных денежных потоков и дисконтированных показателей по трём сценариям сведены в таблице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Приростные денежные потоки и дисконтированные показатели эффективности стратегии продвижения Face2 (горизонт 36 мес., r = 16 %), млн руб.</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55"/>
        <w:gridCol w:w="1272"/>
        <w:gridCol w:w="1454"/>
        <w:gridCol w:w="1454"/>
        <w:gridCol w:w="2000"/>
      </w:tblGrid>
      <w:tr>
        <w:trPr>
          <w:tblHeader/>
          <w:cantSplit/>
        </w:trPr>
        <w:tc>
          <w:tcPr>
            <w:tcW w:w="34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(мес. 6)</w:t>
            </w:r>
          </w:p>
        </w:tc>
        <w:tc>
          <w:tcPr>
            <w:tcW w:w="145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(мес. 18)</w:t>
            </w:r>
          </w:p>
        </w:tc>
        <w:tc>
          <w:tcPr>
            <w:tcW w:w="145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(мес. 36)</w:t>
            </w:r>
          </w:p>
        </w:tc>
        <w:tc>
          <w:tcPr>
            <w:tcW w:w="200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 / показатель</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Бюджет фазы (таблица 3.2.6)</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8,35</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10,70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14,95</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34,00</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Коэффициент дисконтирования (r = 16 %)</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0,929</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0,800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0,641</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 Пессимистический</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Прирост выручки (таблица 3.3.2)</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6,50</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11,00</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Валовая прибыль (60 %)</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0,90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3,90</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6,60</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Денежный поток CF</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−7,45</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−8,90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−11,05</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Дисконтированный CF</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−6,92</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−7,12</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−7,08</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ЧДД = −21,12</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 Реалистический</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Прирост выручки (таблица 3.3.2)</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32,00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102,00</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140,00</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Валовая прибыль (60 %)</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3,60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19,20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61,20</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84,00</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Денежный поток CF</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−4,75</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+8,50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+46,25</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Дисконтированный CF</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−4,41</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+6,80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+29,63</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ЧДД = +32,02</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Накопленный дисконтированный CF</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−4,41</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+2,39</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+32,02</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PI = 2,24; IRR ≈ 237 %</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 Оптимистический</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Прирост выручки (таблица 3.3.2)</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33,00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150,00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375,00</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558,00</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Валовая прибыль (60 %)</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19,80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90,00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225,00</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334,80</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Денежный поток CF</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+11,45</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+79,30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+210,05</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Дисконтированный CF</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+10,63</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+63,47</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+134,58</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ЧДД = +208,68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3.2.6 и 3.3.2 по формулам (3.3.3)–(3.3.5); валовая прибыль принята на уровне 60 % приростной выручки (консервативное допущение).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Дисконтированная оценка подтверждает и уточняет вывод, полученный по ROI. В реалистическом сценарии чистый дисконтированный доход положителен (ЧДД = +32,02 млн руб.), индекс прибыльности PI = 2,24 &gt; 1 (каждый рубль приведённых затрат генерирует 2,24 рубля приведённых поступлений), внутренняя норма доходности IRR ≈ 237 % многократно превышает ставку дисконтирования 16 %, а дисконтированный срок окупаемости DPP составляет около 1,2 года (примерно четырнадцатый месяц, внутри фазы 2) — то есть с учётом дисконтирования окупаемость наступает на несколько месяцев позже, чем по простому ROI (≈ седьмой месяц), но по-прежнему уверенно в пределах горизонта. В оптимистическом сценарии эффект кратно выше (ЧДД = +208,68 млн руб., PI = 9,06, окупаемость внутри фазы активации). В пессимистическом сценарии проект на горизонте 36 месяцев положительного ЧДД не достигает (ЧДД = −21,12 млн руб., PI = 0,18), что согласуется с отрицательным ROI и маркирует точку, требующую пересборки стратегии по итогам контрольных точек. Проверка устойчивости показывает, что ЧДД реалистического сценария остаётся положительным во всём диапазоне ставок дисконтирования от 10 до 30 % (от +37,6 до +22,6 млн руб.), то есть вывод об экономической целесообразности не чувствителен к возможному ужесточению денежно-кредитной политики Банка России. Дисконтированные показатели, таким образом, не заменяют, а усиливают оценку по ROI: стратегия создаёт положительную приведённую стоимость для группы банка в реалистическом и оптимистическом сценариях.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Управление рисками стратегии строится как двухслойная матрица. Нижний слой — реализационные риски, которые зависят от качества внедрения и управляются мероприятиями параграфа 3.2; верхний слой — остаточные регуляторные и репутационные риски рынка биометрии, которые стратегия не снимает, а ослабляет (за счёт регуляторного контента и доказательной базы) и обходит (за счёт массового канала через банковскую экосистему). Двухслойная конструкция отвечает на ожидаемое замечание о том, что часть рисков биометрии лежит за пределами управляемости отдельной маркетинговой стратегии, и одновременно показывает, что эти риски учтены в проекте. Используется типология рисков из таблицы 1.1.3 параграфа 1.1 — технические, рыночные, финансовые, репутационные, регуляторные, организационные, конкурентные [15, с. 117]; каждый риск оценивается по двум осям — вероятности (низкая, средняя, высокая) и потенциальному ущербу (низкий, средний, высокий, очень высокий).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и способы их снижения сведены в таблице 3.3.5.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продвижения Face2 и меры реагирования</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1"/>
        <w:gridCol w:w="3101"/>
        <w:gridCol w:w="775"/>
        <w:gridCol w:w="775"/>
        <w:gridCol w:w="3323"/>
      </w:tblGrid>
      <w:tr>
        <w:trPr>
          <w:tblHeader/>
          <w:cantSplit/>
        </w:trPr>
        <w:tc>
          <w:tcPr>
            <w:tcW w:w="16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1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Превышение бюджета фазы 1 (CAPEX: сайт, студия, брендинг)</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с квартальной ревизией; KPI 3.3.1; перенос статей</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отдача OPEX на контекстную рекламу и SMM</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 на мес. 3 и 6; A/B-тестирование; перераспределение OPEX</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конверсия face2.ru в заявку (ниже 1,5%)</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A/B-тестирование посадочных; доработка предложений 3.2.2; уточнение CTA</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Срыв пилотов фазы 2 у внешних клиентов</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как референс; стандартизованные ТТ к пилотам [27; 28]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интеграции при подключении уровня 2</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масштабирование; sandbox; документация Face2 [28; 29]</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Дефицит маркетинговой команды для контента и PR</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Штат маркетинговой службы в фазе 1; альтернатива — агентство с KPI</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Сбера в B2G и регионах вне Москвы и СПб</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и партнёрства Минцифры/Минтранс/НСПК как защита [26; 38]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ответ VisionLabs (Deepfake Detection 2.0)</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 в фазе 1; продуктовое лидерство в КБС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27; 38; 40;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способы их снижения сведены в таблице 3.3.6. Эти риски стратегия Face2 не устраняет — они являются объективными свойствами рынка, на котором работает аккредитованный оператор КБС, — но снижает их вероятность через регуляторно ориентированное позиционирование и регулярную подготовку контента (3.2.4) и снижает их ущерб через диверсификацию каналов и устойчивую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меры реагирования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40"/>
        <w:gridCol w:w="3323"/>
        <w:gridCol w:w="775"/>
        <w:gridCol w:w="775"/>
        <w:gridCol w:w="3323"/>
      </w:tblGrid>
      <w:tr>
        <w:trPr>
          <w:tblHeader/>
          <w:cantSplit/>
        </w:trPr>
        <w:tc>
          <w:tcPr>
            <w:tcW w:w="14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 572-ФЗ или подзаконных актов ЦБ/Минцифры [2; 3; 4]</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координация с ЦБТ [37]; гибкая архитектура КБС</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Ужесточение требований к согласию на сдачу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Превентивная адаптация UX регистрации в ЕБС; обучающий контент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Отзыв/приостановка аккредитации участника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Соблюдение 5-уровневого контура (КБС, ЕБС, ФСБ, ФСТЭК, реестр); внутр. аудит</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Утечка биометрии у любого оператора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Готовый кризисный PR; проактивная коммуникация о криптозащите; материалы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Медиа-кейс «биометрия как слежка»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регконтент 3.2.4; работа с лидерами мнений в IT</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 внешний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Атака на ЕБС или КБС</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ФСТЭК; резервирование; внешний аудит ИБ</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доверия населения к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Долгосрочная коммуникация в направлении В; экспертное сообщество</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16, с. 43–48; 24, с. 100–110; 25, с. 112–115; 1; 36; 35; 32; 37;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Двухслойная матрица рисков связана с диагностикой барьеров биометрии, проведённой в параграфе 1.3 и в подразделе 3.1.1: реализационный слой (таблица 3.3.5) содержит управляемые риски, прямо адресуемые мероприятиями параграфа 3.2, а остаточный слой (таблица 3.3.6) соответствует объективным барьерам рынка биометрии — недоверию пользователей, регуляторной нестабильности, репутационным эффектам отраслевых утечек. Стратегия 3.2 эти барьеры не отменяет — она их ослабляет за счёт регуляторного и доказательного контента и обходит за счёт массового канала через банковскую экосистему (направление В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Организационный план переводит трёхфазную содержательную логику этапов реализации, обоснованную в подразделе 3.2.5, в плоскость календаря, распределения ответственности и контрольных точек. Содержательная логика и оргплан намеренно разнесены между параграфами 3.2 и 3.3 (содержательная — что именно делается в каждой фазе — закрепляется в подразделе 3.2.5; организационная — кто и в какие сроки это делает — в настоящем подразделе), что соответствует принципу разделения предметной и управленческой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ответственности строится по матрице RACI (Responsible — исполнитель, Accountable — ответственный, Consulted — консультирующий, Informed — информируемый). В состав участников входят маркетинговая (продуктовая) служба Face2 в составе АББ, команда Face2 в составе АО «Социальная карта», PR-функция АББ, юридическая служба банка, CISO, подразделение продаж B2B, партнёрское подразделение, а также внешние партнёры — рекламное агентство, контент-студия и организаторы отраслевых мероприятий. Распределение ответственности по ключевым мероприятиям параграфа 3.2 представлено в таблице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RACI-матрица распределения ответственности по мероприятиям стратегии продвижения Face2</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95"/>
        <w:gridCol w:w="965"/>
        <w:gridCol w:w="750"/>
        <w:gridCol w:w="636"/>
        <w:gridCol w:w="643"/>
        <w:gridCol w:w="636"/>
        <w:gridCol w:w="750"/>
        <w:gridCol w:w="858"/>
        <w:gridCol w:w="1501"/>
      </w:tblGrid>
      <w:tr>
        <w:trPr>
          <w:tblHeader/>
          <w:cantSplit/>
        </w:trPr>
        <w:tc>
          <w:tcPr>
            <w:tcW w:w="289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96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63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6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Юристы</w:t>
            </w:r>
          </w:p>
        </w:tc>
        <w:tc>
          <w:tcPr>
            <w:tcW w:w="63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85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Партнёры</w:t>
            </w:r>
          </w:p>
        </w:tc>
        <w:tc>
          <w:tcPr>
            <w:tcW w:w="15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Регулярная подготовка контента (3 типа)</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(студия)</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(лаборатория)</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(организаторы)</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ролей: Маркетинг — маркетинговая (продуктовая) служба Face2 в составе АББ; Команда Face2 — команда Face2 в составе АО «Социальная карта»; PR — PR-функция АББ; Юристы — юридическая служба банка; CISO — директор по информационной безопасности; Продажи B2B — подразделение продаж B2B; Партнёры — партнёрское подразделение; Внешние — внешние партнёры (рекламное агентство, контент-студия, испытательная лаборатория, организаторы мероприятий). Обозначения RACI: R — исполнитель, A — ответственный, C — консультирующий, I — информируемый.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с учётом организационной структуры банка [26, с. 4] и распределения функций по подразделам 3.2.1–3.2.5.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разворачивает мероприятия параграфа 3.2 на горизонт 36 месяцев, разбитый на 12 кварталов (Q1–Q12), и фиксирует шесть контрольных точек, в которых принимается решение «продолжать — корректировать — пересматривать». Контрольная точка КТ1 (мес. 3) — запуск face2.ru с CTA-механикой и выпуск первых регуляторных публикаций; КТ2 (мес. 6) — конец фазы 1, завершение формирования линейки спикеров и подача заявок на сертификации; КТ3 (мес. 9) — старт фазы 2, первые пилоты уровня 1 и первые подключения уровня 2; КТ4 (мес. 12) — годовой отчёт по KPI и корректировка бюджета; КТ5 (мес. 18) — конец фазы 2, оценка выручки относительно реалистического сценария и решение о входе в фазу 3; КТ6 (мес. 24 и мес. 36) — точки фазы 3, оценка NPS, доли повторных продаж и географической экспансии. Календарь представлен в приложении Б.</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Календарь, приведённый в приложении Б, показывает три устойчивых наблюдения. Во-первых, фаза активации (Q1–Q2) сосредоточена на разовых мероприятиях запуска инфраструктуры (переоснащение сайта, формирование линейки спикеров, бренд в соцсетях, заявки на сертификации), которые завершаются в первом полугодии и далее не повторяются. Во-вторых, фаза масштабирования (Q3–Q6) представляет собой плотную параллельную работу всех каналов и направлений — от конференций и пилотов до размещений в СМИ и развития банковской экосистемы; именно эта фаза несёт основную организационную нагрузку и требует устойчивой команды. В-третьих, фаза закрепления (Q7–Q12) переводит стратегию в режим сопровождения с постепенным наращиванием референсной программы и снижением активности в части офлайн-конференций.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Завершает оценку эффективности сводная таблица целевых значений. Замечание о том, что система ключевых показателей и эффектов до сих пор раскрывалась преимущественно качественно и рассредоточенно (в таблице 3.3.1 — без чисел, в таблицах 3.3.2–3.3.3 — по выручке и ROI, в тексте — по отдельным метрикам), снимается таблицей 3.3.8: она собирает в одном месте ключевые KPI всех четырёх типов (охват, вовлечение, конверсия, коммерческий результат) с конкретными целевыми ориентирами по фазам в реалистическом сценарии (Р) и три качественных эффекта стратегии. Числовые значения являются нормативно-ориентировочными расчётными допущениями автора, привязанными к базе 2025 года, к данным таблиц 3.3.2–3.3.3 и к публичным бенчмаркам B2B-маркетинга; они подлежат уточнению маркетинговой и финансовой службами ПАО «Ак Барс Банк» по итогам контрольных точек.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таблица целевых значений ключевых показателей и эффектов стратегии продвижения Face2 (реалистический сценарий)</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72"/>
        <w:gridCol w:w="2727"/>
        <w:gridCol w:w="1091"/>
        <w:gridCol w:w="909"/>
        <w:gridCol w:w="1000"/>
        <w:gridCol w:w="1182"/>
        <w:gridCol w:w="1454"/>
      </w:tblGrid>
      <w:tr>
        <w:trPr>
          <w:tblHeader/>
          <w:cantSplit/>
        </w:trPr>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w:t>
            </w:r>
          </w:p>
        </w:tc>
        <w:tc>
          <w:tcPr>
            <w:tcW w:w="27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0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База 2025</w:t>
            </w:r>
          </w:p>
        </w:tc>
        <w:tc>
          <w:tcPr>
            <w:tcW w:w="90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Конец фазы 1 (мес. 6)</w:t>
            </w:r>
          </w:p>
        </w:tc>
        <w:tc>
          <w:tcPr>
            <w:tcW w:w="100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Конец фазы 2 (мес. 18)</w:t>
            </w:r>
          </w:p>
        </w:tc>
        <w:tc>
          <w:tcPr>
            <w:tcW w:w="118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Конец фазы 3 (мес. 36)</w:t>
            </w:r>
          </w:p>
        </w:tc>
        <w:tc>
          <w:tcPr>
            <w:tcW w:w="145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Метод / источник</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Уникальные посетители face2.ru, тыс./мес (напр. Б)</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 (pull отсутствует)</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5–15</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20–40</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40–60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Логи сайта</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Подписчики бренда Face2 в соцсетях (Telegram, ВК, Habr), тыс.</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2–5</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10–20</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25–40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Аналитика соцсетей</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Публикации в деловых федеральных СМИ и ИТ-каталогах, нараст.</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 (TAdviser, 2018)</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3–5</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12–18</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25–35</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Медиа-мониторинг</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заявок и внедрений вне Республики Татарстан, %</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CRM банка</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Вовлечение</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Входящие обращения (лиды), шт./мес</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 (автоворонки нет)</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20–40</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60–100</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120–180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CRM банка</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Вовлечение</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 «посетитель → заявка» на face2.ru, %</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2,5</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Логи сайта + CRM</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Вовлечение</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Загрузки типовых КП по 6 сегментам, шт./мес</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10–20</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40–70</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80–120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Логи сайта</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 «лид → пилот», % (напр. А, Б)</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3–5</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CRM; бенчмарк B2B [6; 7]</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 «пилот → внедрение», %</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25–35</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40–45</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45–50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CRM банка</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 iBeta Level 2</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поданы</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результаты получены</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действуют, обновляются</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Подтверждённые внешние внедрения, нараст. (к базе 2025)</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(2025)</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1,5x</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2,5x</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3x</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проектов / CRM</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выручки через pull-каналы, %</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5–10</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20–30</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30–50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Управленческая отчётность</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(сценарий Р), млн руб.</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3.3.2</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стратегии (сценарий Р), %</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+312</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3.3.3</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 окупаемости (сценарий Р)</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достигнут</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достигнут (≈ мес. 7)</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3.3.3</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клиентов уровня 1 / доля повторных продаж модулей</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измеряется</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замеров</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&gt; 0; повторные ≥ 20 %</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Опрос клиентов, CRM</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 (качественный)</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Косвенный для банка: рост платёжных оборотов АББ по биоэквайрингу и приток в АБО</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целевой ориентир достигнут</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[26, с. 17, 30–31]</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 (качественный)</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Имиджевый: статус федерального игрока, расширение референсной базы</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целевой ориентир достигнут</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 (качественный)</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удержание статуса аккредитованного оператора КБС</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действует</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3; 4; 37]</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1.2.4, 3.2.1, 3.3.1–3.3.3, тарифам АО «ЦБТ» (29.01.2026) и публичным бенчмаркам B2B-маркетинга [6, с. 64; 7, с. 64; 26, с. 17, 29, 30–31; 32]; числовые значения — нормативно-ориентировочные расчётные допущения автора, подлежащие уточнению маркетинговой и финансовой службами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3.3.8 переводит ранее описанную качественно систему показателей в измеримую форму: по каждой из четырёх групп KPI заданы конкретные целевые ориентиры на конец каждой фазы, а три качественных эффекта получили фиксированный целевой статус. Тем самым продвижение Face2 становится управляемым по контрольным точкам календаря (приложение Б): на КТ2, КТ5 и КТ6 фактические значения сопоставляются с ориентирами таблицы 3.3.8 и служат основанием для решения «продолжать — корректировать — пересматривать».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3.3. Эффективность стратегии оценена на четырёх уровнях. Система KPI (3.3.1) — двумерная матрица «направление × этап воронки» с двадцатью одной метрикой; принципиальные решения — сценарность Π/Р/О и четыре типа метрик (охват, вовлечение, конверсия, коммерческий результат); сводные целевые значения по фазам и три качественных эффекта собраны в итоговой таблице 3.3.8. Экономическая оценка (3.3.2) сопоставляет выручку по двум уровням продаж с бюджетом таблицы 3.2.6 и выводит ROI и срок окупаемости в трёх сценариях (ROI от −68 % в пессимистическом до +1541 % в оптимистическом, в реалистическом +312 % с окупаемостью ориентировочно к седьмому месяцу; точка безубыточности — около семнадцати СКУД-объектов уровня 2 либо одна сделка уровня 1) и дополняет их дисконтированными показателями (таблица 3.3.4): в реалистическом сценарии ЧДД = +32,0 млн руб., PI = 2,24, IRR ≈ 237 % при ставке 16 %, дисконтированный срок окупаемости около 1,2 года, а также косвенным, имиджевым и регуляторным эффектами. Двухслойная матрица рисков (3.3.3) разводит реализационные риски, управляемые мероприятиями 3.2, и остаточные регуляторные и репутационные риски рынка биометрии. Организационный план (3.3.4) — RACI-матрица из десяти мероприятий и календарь на 12 кварталов с шестью контрольными точками. Совокупно: восемь пробелов главы 2 покрыты KPI, бюджет 34,0 млн руб. окупается в сценариях Р и О в пределах 36 месяцев, риски ослаблены или обойдены, внедрение обеспечено распределением ответственности. Практическая значимость — готовность стратегии к применению в ПАО «Ак Барс Банк» для масштабирования Face2 за пределы Республики Татарстан без инвестиций в собственный B2C-маркетинг федерального масштаба. Главное условие успеха — качественное прохождение фазы активации (мес. 1–6); главный неуправляемый риск — изменение № 572-ФЗ, демпфируемое регуляторным капиталом банка.</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ЗАКЛЮЧЕНИЕ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Выпускная квалификационная работа посвящена разработке стратегии продвижения инновационного биометрического продукта Face2 ПАО «Ак Барс Банк» в условиях массовой коммерциализации российского рынка биометрии и ужесточения регуляторного контура обработки биометрических персональных данных. Поставленная цель достигнута, шесть задач исследования решены последовательно в трёх главах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первой главе систематизированы теоретические основы стратегического продвижения инновационных продуктов. Раскрыты сущность и признаки инновационного продукта, определена специфика маркетинговых коммуникаций, дополняющих стандартные функции информирования и стимулирования спроса образовательной и доверительной составляющими. На основе теории диффузии инноваций Э. Роджерса, моделей STP и 7P, а также маркетинговой воронки с этапом формирования доверия обосновано отнесение биометрических систем к высокотехнологичным инновационным продуктам повышенного риска и сформулированы четыре условия их успешного продвижения — правовое, социально-психологическое, технологическое и экономическое.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 второй главе проведён анализ деятельности ПАО «Ак Барс Банк» и состояния продвижения продукта Face2. Банк располагает крупной балансовой базой, рейтингами уровня «A»/«BBB» по национальной шкале и статусом аккредитованного оператора коммерческой биометрической системы. Российский рынок биометрии вышел на стадию массовой коммерциализации в условиях жёсткой регуляторной рамки № 572-ФЗ. Сравнительная балльная оценка под целевой сегмент Face2 поместила продукт в группу лидеров — на разделённую вторую позицию после ПАО «Сбербанк». Диагностика текущего продвижения через STP, 7P, воронку и SWOT выявила структурную асимметрию push- и pull-каналов и восемь связанных пробелов, сгруппированных в три кластера — охвата, аргументации и инфраструктуры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третьей главе на основе результатов диагностики разработана стратегия продвижения Face2: сформированы цели и направления продвижения, опирающиеся на регуляторный капитал банка, банковскую экосистему и стаж работы в ЕБС с 2018 года; спроектирован комплекс маркетинговых мероприятий, синхронно закрывающий выявленные пробелы; предложенная стратегия оценена системой ключевых показателей, экономически обоснована и сопровождена матрицей рисков с мерами реагирования.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Теоретический вклад работы — настройка моделей STP, 7P и push/pull-стратегий под биометрические продукты, действующие в условиях аккредитационного режима и обязательного хранения биометрических векторов в ЕБС. Практический вклад — готовность разработанной стратегии и комплекса мероприятий к внедрению в ПАО «Ак Барс Банк» для масштабирования Face2 за пределы Республики Татарстан, а также переносимость предложенных подходов на других аккредитованных операторов коммерческих биометрических систем.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Перспективным направлением дальнейших исследований представляется количественный мониторинг эффективности предложенных мероприятий по мере их внедрения и оценка влияния федеральных законов № 420-ФЗ и № 421-ФЗ от 30 ноября 2024 года на динамику пользовательского доверия к операторам биометрии.</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СПИСОК ИСПОЛЬЗОВАННЫХ ИСТОЧНИКОВ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Список оформлен в соответствии с ГОСТ Р 7.0.100-2018 и Положением о выпускной квалификационной работе ИУЭиФ КФУ. Внутри разделов соблюдён алфавитный порядок (для нормативных правовых актов — по юридической силе и дате принятия); внутри ВКР используется сквозная нумерация арабскими цифрами.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 Нормативные правовые акты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 Об осуществлении идентификации и (или) аутентификации физических лиц с использованием биометрических персональных данных, о внесении изменений в отдельные законодательные акты Российской Федерации и признании утратившими силу отдельных положений законодательных актов Российской Федерации : Федер. закон от 29 дек. 2022 г. № 572-ФЗ : [принят Гос. Думой 21 дек. 2022 г. : одобрен Советом Федерации 23 дек. 2022 г.] // Официальный интернет-портал правовой информации. — URL: http://pravo.gov.ru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 О порядке проведения коммерческими биометрическими системами идентификации и (или) аутентификации с использованием биометрических персональных данных : Указание Банка России от 25 сент. 2023 г. № 6541-У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 О повышении внимания кредитных организаций к отдельным операциям клиентов : Методические рекомендации Банка России от 20 дек. 2023 г. № 18-МР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 О повышении внимания кредитных организаций к отдельным операциям клиентов — физических лиц : Методические рекомендации Банка России от 23 дек. 2023 г. № 19-МР // Официальный сайт Банка России. — URL: https://www.cbr.ru/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 Монографии, учебники и учебные пособия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5. Голубков, Е. П. Маркетинг для профессионалов: практический курс : учебник и практикум для бакалавриата и магистратуры / Е. П. Голубков. — Москва : Издательство Юрайт, 2023. — 474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6. Катаев, А. В. Digital-маркетинг : учебное пособие / А. В. Катаев, Т. М. Катаева, И. А. Названова. — Ростов-на-Дону ; Таганрог : Издательство Южного федерального университета, 2021. — 163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7. Катаева, Т. М. Цифровой маркетинг : учебное пособие / Т. М. Катаева, А. В. Катаев, И. А. Названова. — Ростов-на-Дону ; Таганрог : Издательство Южного федерального университета, 2022. — 168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8. Котлер, Ф. Маркетинг менеджмент. Экспресс-курс / Ф. Котлер ; перевод с английского Д. Раевской. — 2-е изд. — Санкт-Петербург : Питер, 2006. — 464 с. — (Серия «Деловой бестселлер»).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9. Котлер, Ф. Основы маркетинга / Ф. Котлер ; перевод с английского В. Б. Боброва ; общая редакция и вступительная статья Е. М. Пеньковой. — Москва : Прогресс, 1991. — 736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10. Ламбен, Ж.-Ж. Стратегический маркетинг. Европейская перспектива / Ж.-Ж. Ламбен ; перевод с французского. — Санкт-Петербург : Наука, 1996. — 589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11. Портер, М. Конкурентная стратегия: Методика анализа отраслей и конкурентов / Майкл Портер ; перевод с английского И. Минервина. — Москва : Альпина Бизнес Букс, 2005. — 454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12. Тебекин, А. В. Инновационный менеджмент : учебник для бакалавров / А. В. Тебекин. — Москва : Издательство Юрайт, 2020. — 481 с. — (Серия «Бакалавр. Академический курс»).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13. Управление инновациями : учебник для академического бакалавриата / под редакцией Е. А. Мальцевой. — Москва : Издательство Юрайт, 2022. — 256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14. Шумпетер, Й. А. Теория экономического развития / Й. А. Шумпетер ; перевод с немецкого В. С. Автономова, М. С. Любского, А. Ю. Чепуренко. — Москва : Прогресс, 1982. — 455 с.</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III. Статьи в периодических изданиях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15. Биометрическая идентификация: сущность и применение технологии в платёжной индустрии // Финансы: теория и практика. — 2022. — Т. 26, № 1. — С. 28–40.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16. Биометрия в банках и факторы, сдерживающие её развитие // Банковские услуги. — 2021. — № 4. — С. 36–52.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17. Идентификация фазы развития и технологической зрелости инновационных продуктов на основе параметров демонстративного потребления / Е. В. Линская [и др.] // Новое в экономической кибернетике. — 2023. — № 1. — С. 188–195. — DOI 10.5281/zenodo.18048804.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18. Маркетинговые стратегии инновационных продуктов и пути их совершенствования // Стратегии бизнеса. — 2022. — Т. 10, № 5. — С. 3–8.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19. Маркетинговые стратегии продвижения инновационного продукта на рынок // Экономика и предпринимательство. — 2021. — № 11. — С. 3–9.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20. Необходимость маркетинга в продвижении инновационных продуктов // Креативная экономика. — 2020. — Т. 14, № 7. — С. 9–16.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21. Оборевич, А. А. Стратегия продвижения инновационного продукта на промышленном рынке: концептуальная модель / А. А. Оборевич, О. А. Третьяк // Российский журнал менеджмента. — 2021. — Т. 19, № 1. — С. 88–110.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22. Особенности маркетинга инноваций // Вопросы инновационной экономики. — 2020. — Т. 10, № 4. — С. 9–18.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23. Правовое регулирование использования биометрии в банковской сфере и проблемы по её охране // Юридическая наука. — 2022. — № 2. — С. 90–96.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24. Применение биометрической идентификации в банках: проблемы и перспективы // Финансовые рынки и банки. — 2021. — № 6. — С. 100–110.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25. Проблемы и перспективы развития биометрических технологий в банковской деятельности // Вестник науки. — 2022. — № 5. — С. 112–119. — URL: https://cyberleninka.ru/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IV. Финансовая отчётность и корпоративные документы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26. Ак Барс Банк : Годовой отчёт за 2024 год / ПАО «АК БАРС» БАНК. — Казань, 2025. — 40 с.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27. Биометрия АК БАРС БАНКа (Face2) : презентационные и проектные материалы / ПАО «АК БАРС» БАНК. — Казань, 2025. — Внутренний документ банка,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28. Информационная система Face2. Руководство по развёртыванию.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29. Информационная система Face2. Функциональные возможности продукта.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30. Раскрываемая годовая бухгалтерская (финансовая) отчётность за 2024 год / ПАО «АК БАРС» БАНК. — Казань, 2025.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31. Финансовая отчётность ПАО «АК БАРС» БАНК за 2023 год. — Казань, 2024. — URL: https://www.akbars.ru/about/reports/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V. Электронные ресурсы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32. Арялина, М. Узнать одного из тысячи: как биометрические системы стали нашей повседневностью / М. Арялина // Ведомости. Инновации и технологии. — 2026. — 11 марта. — URL: https://www.vedomosti.ru/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33. Банк России. Обзор международного рынка биометрических технологий и их применение в финансовом секторе. — Москва, 2018. — 25 с.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34. Банк России. Платежи с использованием биометрии и QR-кодов во II квартале 2025 года : пресс-релиз. — Москва, 2025. — URL: https://www.cbr.ru/press/event/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35. Банк России. Перечень банков, соответствующих требованиям пункта 5.7 статьи 7 Федерального закона от 7 августа 2001 г. № 115-ФЗ : по состоянию на 4 мая 2026 г. — Москва, 2026.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36. Банк России. Удалённая идентификация : описание механизма и этапы пользовательского пути. — Москва, [2024].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37. Единая биометрическая система : официальный сайт оператора / АО «Центр биометрических технологий». — Москва, 2025. — URL: https://ebs.ru/citizens/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38. Оплата улыбкой : статистика биометрических платежей ПАО Сбербанк за август 2024 года. — URL: https://www.sber.ru/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39. TAdviser. АК БАРС Банк : подключение к Единой биометрической системе (2018) : проектная карточка // TAdviser. Государство. Бизнес. ИТ. — URL: https://www.tadviser.ru/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40. VisionLabs : официальный сайт компании. — URL: https://visionlabs.ru/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41. OVISION : официальный сайт компании. — URL: https://ovision.ru/ (дата обращения: 31.05.2026).</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ПРИЛОЖЕНИЯ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ПРИЛОЖЕНИЕ 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А.1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Face2 и ключевых конкурентов на российском рынке биометрии</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24"/>
        <w:gridCol w:w="2224"/>
        <w:gridCol w:w="1318"/>
        <w:gridCol w:w="2471"/>
        <w:gridCol w:w="1400"/>
      </w:tblGrid>
      <w:tr>
        <w:trPr>
          <w:tblHeader/>
          <w:cantSplit/>
        </w:trPr>
        <w:tc>
          <w:tcPr>
            <w:tcW w:w="222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Параметр</w:t>
            </w:r>
          </w:p>
        </w:tc>
        <w:tc>
          <w:tcPr>
            <w:tcW w:w="222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(АББ)</w:t>
            </w:r>
          </w:p>
        </w:tc>
        <w:tc>
          <w:tcPr>
            <w:tcW w:w="131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247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140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4-А от 15.11.2023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дочерние структуры</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 ЦБТ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101 в перечне [35]</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 ФСБ и ФСТЭК</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ПАК «ВЛ-БИО»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СКЗИ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Подтверждена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99,5%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Косвенно через VisionLabs</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NIST FRTE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99,9%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 с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 с (цель 2 с) [38]</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 с (LUNA)</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0,3 с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(модуль ПАК)</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(OGATE)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Face2Pay/Pass/Check-in + КБС (по банковским сценариям)</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СберPay Smile (эквайринг)</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LUNA Platform/Cars/ID/Pass/Kiosk + Deepfake Detection (по форм-факторам)</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OGATE + OGATE Control + КБС OVISION</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 и новые территории [38]</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стран, 9 представительств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 не зафиксировано</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Liveness + AI-фрод + ПИН [38]</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 Deepfake Detection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Антиспуфинг + дипфейки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Карта жителя РТ, СБП, АБО [26]</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СберPay, СберID</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ЦБТ, ЦРТ, Нетрис, ITV и др.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 банковской экосистемы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17, 33; 38; 35; 40; 41]</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ПРИЛОЖЕНИЕ Б</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Б.1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реализации стратегии продвижения Face2 с контрольными точками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04"/>
        <w:gridCol w:w="561"/>
        <w:gridCol w:w="561"/>
        <w:gridCol w:w="561"/>
        <w:gridCol w:w="561"/>
        <w:gridCol w:w="561"/>
        <w:gridCol w:w="561"/>
        <w:gridCol w:w="561"/>
        <w:gridCol w:w="561"/>
        <w:gridCol w:w="561"/>
        <w:gridCol w:w="561"/>
        <w:gridCol w:w="561"/>
        <w:gridCol w:w="561"/>
      </w:tblGrid>
      <w:tr>
        <w:trPr>
          <w:tblHeader/>
          <w:cantSplit/>
        </w:trPr>
        <w:tc>
          <w:tcPr>
            <w:tcW w:w="29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Q2</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Q3</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Q4</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Q5</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Q6</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Q7</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Q8</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Q9</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Q10</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Q11</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Q12</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контент</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 Face2 в социальных сетях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Типовые отраслевые КП</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СМИ и ИТ-каталогах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экосистема как канал</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КТ3</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КТ4</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КТ5</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высокая интенсивность мероприятия в квартале, «x» — низкая интенсивность, пустая ячейка — мероприятие не ведётся.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подраздела 3.2.5 и логики контрольных точек параграфа 3.3.</w:t>
      </w:r>
    </w:p>
    <w:sectPr>
      <w:pgSz w:w="11906" w:h="16838"/>
      <w:pgMar w:top="1134" w:right="567" w:bottom="1134" w:left="1701" w:header="720" w:footer="720" w:gutter="0"/>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font>
  <w:font w:name="Courier New">
    <w:panose1 w:val="02070309020205020404"/>
    <w:charset w:val="CC"/>
    <w:family w:val="modern"/>
    <w:pitch w:val="fixed"/>
  </w:font>
</w:fonts>
</file>

<file path=word/numbering.xml><?xml version="1.0" encoding="utf-8"?>
<w:numbering xmlns:w="http://schemas.openxmlformats.org/wordprocessingml/2006/main"/>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themeFontLang w:val="ru-RU"/>
</w:settings>
</file>

<file path=word/styles.xml><?xml version="1.0" encoding="utf-8"?>
<w:styles xmlns:w="http://schemas.openxmlformats.org/wordprocessingml/2006/main">
  <w:docDefaults>
    <w:rPrDefault>
      <w:rPr>
        <w:rFonts w:ascii="Times New Roman" w:hAnsi="Times New Roman" w:cs="Times New Roman" w:eastAsia="Times New Roman"/>
        <w:sz w:val="28"/>
        <w:szCs w:val="28"/>
        <w:lang w:val="ru-RU" w:eastAsia="ru-RU" w:bidi="ar-SA"/>
      </w:rPr>
    </w:rPrDefault>
    <w:pPrDefault>
      <w:pPr>
        <w:spacing w:before="0" w:after="0" w:line="360"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VKR-md2docx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ВКР ГОТОВОЕ</dc:title>
  <dc:creator>Автор</dc:creator>
  <cp:lastModifiedBy>Автор</cp:lastModifiedBy>
</cp:coreProperties>
</file>