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60"/>
        <w:jc w:val="center"/>
      </w:pPr>
      <w:r>
        <w:rPr>
          <w:b/>
          <w:bCs/>
          <w:sz w:val="30"/>
          <w:szCs w:val="30"/>
        </w:rPr>
        <w:t xml:space="preserve">Анализ главы 3 и рекомендации по экономическому обоснованию стратегии</w:t>
      </w:r>
    </w:p>
    <w:p>
      <w:pPr>
        <w:spacing w:after="240" w:line="360"/>
        <w:jc w:val="center"/>
      </w:pPr>
      <w:r>
        <w:rPr>
          <w:i/>
          <w:iCs/>
        </w:rPr>
        <w:t xml:space="preserve">(стратегия продвижения Face2, ПАО «Ак Барс Банк»)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1. Краткий анализ главы 3</w:t>
      </w:r>
    </w:p>
    <w:p>
      <w:pPr>
        <w:spacing w:after="120" w:line="360"/>
        <w:ind w:firstLine="567"/>
        <w:jc w:val="both"/>
      </w:pPr>
      <w:r>
        <w:t xml:space="preserve">Глава 3 методологически выстроена сильно, и это нужно сохранить. В подразделе 3.3 уже заданы: трёхсценарная рамка (пессимистический Π, реалистический Р, оптимистический О), двумерная матрица KPI по этапам воронки, формула ROI, определение срока окупаемости через момент покрытия кумулятивного бюджета кумулятивной выручкой, двухслойная матрица рисков и открыто зафиксированные методические ограничения. Структура «бюджет → выручка → ROI → окупаемость» полностью соответствует тому, что требует научный руководитель.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Главный дефицит — числа отсутствуют. </w:t>
      </w:r>
      <w:r>
        <w:t xml:space="preserve">Все три ключевые таблицы расчётного блока заполнены не значениями, а заглушками: в таблице 3.2.6 (бюджет) статьи помечены качественными метками «x / X / →», в таблице 3.3.2 (выручка) — формулировками «по согласованию с банком» и «единицы / десятки / сотни», в таблице 3.3.3 (ROI и окупаемость) — словесными оценками «отрицательный / выход в положительную зону» вместо процентов и месяцев. В результате параграф описывает, </w:t>
      </w:r>
      <w:r>
        <w:rPr>
          <w:i/>
          <w:iCs/>
        </w:rPr>
        <w:t xml:space="preserve">как</w:t>
      </w:r>
      <w:r>
        <w:t xml:space="preserve"> считать эффективность, но не показывает </w:t>
      </w:r>
      <w:r>
        <w:rPr>
          <w:i/>
          <w:iCs/>
        </w:rPr>
        <w:t xml:space="preserve">результат</w:t>
      </w:r>
      <w:r>
        <w:t xml:space="preserve"> расчёта.</w:t>
      </w:r>
    </w:p>
    <w:p>
      <w:pPr>
        <w:spacing w:after="120" w:line="360"/>
        <w:ind w:firstLine="567"/>
        <w:jc w:val="both"/>
      </w:pPr>
      <w:r>
        <w:t xml:space="preserve">В тексте это обосновано принципом «связность с моделью важнее объёма чисел» и отсутствием доступа к управленческой отчётности банка. Само ограничение зафиксировать правильно, но вывод из него сделан слишком жёсткий. Отсутствие точных коммерческих данных не запрещает расчёт — оно требует перейти к расчёту на явных допущениях. Сценарная рамка Π / Р / О для того и существует, чтобы работать с неопределённостью: консервативный сценарий страхует от переоценки, оптимистический показывает потенциал. Пустые таблицы эту рамку обесценивают — сценарии объявлены, но не посчитаны.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Вывод. </w:t>
      </w:r>
      <w:r>
        <w:t xml:space="preserve">Методику менять не нужно — нужно довести её до числа: заполнить таблицы 3.2.6, 3.3.2 и 3.3.3 значениями на основе прозрачных допущений и добавить прямой ответ на вопрос «сколько внедрений окупает бюджет» — расчёт точки безубыточности через среднюю выручку с одного объекта. Ниже — конкретные рекомендации и готовый расчёт, пригодный для вставки в текст.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2. Рекомендации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Заполнить бюджет реальными числами (таблица 3.2.6). </w:t>
      </w:r>
      <w:r>
        <w:t xml:space="preserve">Развернуть статьи CAPEX/OPEX по трём фазам в рублях на основе сметы: ФОТ команды продвижения (маркетолог, аналитик, дизайнер), переоснащение face2.ru, брендинг, перформанс-реклама и SMM, выставки и конференции, независимая сертификация, референсная программа. Ниже предложена смета на 34,0 млн руб. за 36 месяцев.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Посчитать выручку по двум уровням продаж в трёх сценариях (таблица 3.3.2). </w:t>
      </w:r>
      <w:r>
        <w:t xml:space="preserve">Заменить «единицы / десятки / сотни» на конкретные числа подключений и средние чеки. Зафиксировать средний чек уровня 1 (КБС под ключ) порядка десятков миллионов и среднюю выручку с объекта уровня 2 в явном виде — именно она нужна для расчёта окупаемости.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Довести ROI и срок окупаемости до чисел (таблица 3.3.3). </w:t>
      </w:r>
      <w:r>
        <w:t xml:space="preserve">Рассчитать кумулятивный чистый эффект, ROI в процентах и месяц окупаемости для каждого сценария. Словесные оценки оставить только как комментарий к числам.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Добавить расчёт точки безубыточности. </w:t>
      </w:r>
      <w:r>
        <w:t xml:space="preserve">Это прямой ответ на замечание руководителя: сколько подключений нужно, чтобы окупить бюджет. Считается как «бюджет ÷ средняя выручка с одного объекта». Привести расчёт в двух разрезах — через среднюю выручку с объекта уровня 2 и через единичную крупную сделку уровня 1.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Ввести unit-экономику объекта как опорный пример. </w:t>
      </w:r>
      <w:r>
        <w:t xml:space="preserve">Показать экономику одного типового B2B-объекта СКУД: предприятие на 5 000 сотрудников, плата 1 000 руб. за сотрудника единовременно → 5,0 млн руб. выручки с объекта. Этот пример делает абстрактные сценарии осязаемыми и связывает расчёт с продуктом Face2Pass / биометрический СКУД.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Сохранить и усилить блок допущений. </w:t>
      </w:r>
      <w:r>
        <w:t xml:space="preserve">Перед таблицами добавить явный перечень принятых значений (средние чеки, конверсии, число подключений по фазам) со ссылкой на источники и пометкой, что значения подлежат уточнению финансовой службой банка. Это снимает претензию о произвольности и одновременно даёт числа.</w:t>
      </w:r>
    </w:p>
    <w:p>
      <w:pPr>
        <w:pStyle w:val="ListParagraph"/>
        <w:numPr>
          <w:ilvl w:val="0"/>
          <w:numId w:val="2"/>
        </w:numPr>
        <w:spacing w:after="100" w:line="360"/>
        <w:jc w:val="both"/>
      </w:pPr>
      <w:r>
        <w:rPr>
          <w:b/>
          <w:bCs/>
        </w:rPr>
        <w:t xml:space="preserve">Свести качественные эффекты к расчёту. </w:t>
      </w:r>
      <w:r>
        <w:t xml:space="preserve">Косвенный, имиджевый и регуляторный эффекты уже описаны корректно — оставить их как дополнение к численному ROI, но теперь они должны идти после чисел, а не вместо них.</w:t>
      </w:r>
    </w:p>
    <w:p>
      <w:pPr>
        <w:pStyle w:val="Heading1"/>
        <w:spacing w:after="160" w:before="240" w:line="360"/>
      </w:pPr>
      <w:r>
        <w:rPr>
          <w:b/>
          <w:bCs/>
        </w:rPr>
        <w:t xml:space="preserve">3. Готовый сценарный расчёт для вставки в § 3.3</w:t>
      </w:r>
    </w:p>
    <w:p>
      <w:pPr>
        <w:spacing w:after="120" w:line="360"/>
        <w:ind w:firstLine="567"/>
        <w:jc w:val="both"/>
      </w:pPr>
      <w:r>
        <w:rPr>
          <w:i/>
          <w:iCs/>
        </w:rPr>
        <w:t xml:space="preserve">Все значения ниже — расчётные допущения автора на основе публичных источников и отраслевых бенчмарков; подлежат уточнению финансовой и маркетинговой службами ПАО «Ак Барс Банк». Расчёт ведётся кумулятивно по трём фазам (фаза 1 — мес. 1–6, фаза 2 — мес. 7–18, фаза 3 — мес. 19–36).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3.1. Принятые допущения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b/>
          <w:bCs/>
        </w:rPr>
        <w:t xml:space="preserve">Бюджет стратегии: </w:t>
      </w:r>
      <w:r>
        <w:t xml:space="preserve">34,0 млн руб. за 36 месяцев (смета — таблица А).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b/>
          <w:bCs/>
        </w:rPr>
        <w:t xml:space="preserve">Уровень 1 (КБС под ключ): </w:t>
      </w:r>
      <w:r>
        <w:t xml:space="preserve">средний чек сделки 30 млн руб. (десятки миллионов, структура проекта КБС [27; 28]).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b/>
          <w:bCs/>
        </w:rPr>
        <w:t xml:space="preserve">Уровень 2 (подключение объекта): </w:t>
      </w:r>
      <w:r>
        <w:t xml:space="preserve">средняя выручка с объекта за первый год (разовая плата за подключение + абонентские/транзакционные поступления) — 0,8 млн руб. в Π, 1,2 млн руб. в Р, 1,8 млн руб. в О.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b/>
          <w:bCs/>
        </w:rPr>
        <w:t xml:space="preserve">Число подключений уровня 2 по фазам: </w:t>
      </w:r>
      <w:r>
        <w:t xml:space="preserve">Π — 1 / 3 / 6 (итого 10); Р — 5 / 15 / 40 (итого 60); О — 15 / 60 / 150 (итого 225).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b/>
          <w:bCs/>
        </w:rPr>
        <w:t xml:space="preserve">Число сделок уровня 1 за горизонт: </w:t>
      </w:r>
      <w:r>
        <w:t xml:space="preserve">Π — 0; Р — 1 (фаза 3); О — 3 (1 в фазе 2, 2 в фазе 3).</w:t>
      </w:r>
    </w:p>
    <w:p>
      <w:pPr>
        <w:pStyle w:val="ListParagraph"/>
        <w:numPr>
          <w:ilvl w:val="0"/>
          <w:numId w:val="3"/>
        </w:numPr>
        <w:spacing w:after="80" w:line="360"/>
        <w:jc w:val="both"/>
      </w:pPr>
      <w:r>
        <w:rPr>
          <w:b/>
          <w:bCs/>
        </w:rPr>
        <w:t xml:space="preserve">Конверсии (из § 3.3.1): </w:t>
      </w:r>
      <w:r>
        <w:t xml:space="preserve">лид → пилот 2 / 5 / 8 %; пилот → внедрение 25 / 45 / 60 % (Π / Р / О); средний чек биометрического платежа 770 руб. [32; 34].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3.2. Бюджет стратегии (числовое наполнение таблицы 3.2.6)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А. Бюджет стратегии продвижения Face2 по статьям и фазам, млн руб.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Статья затрат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1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2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3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ФОТ команды (маркетолог 2,0 + аналитик 2,0 + дизайнер 1,5 = 5,5 млн/год)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2,75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8,25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Переоснащение face2.ru (CTA, ROI-калькулятор)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Брендинг и аккаунты SMM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Контент-студия и производство кейсов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Перформанс-реклама и SMM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Выставки и конференции (0,3 млн/мероприятие)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0,60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1,20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Независимая сертификация (NIST FRTE, iBeta Level 2)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Референсная программа (NPS, кейсы, повторные продажи)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1,50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за фазу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8,35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10,70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14,95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34,00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Кумулятивный бюджет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8,35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19,05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34,00</w:t>
            </w:r>
          </w:p>
        </w:tc>
        <w:tc>
          <w:tcPr>
            <w:tcW w:type="dxa" w:w="157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составлено автором по логике подразделов 3.2.1–3.2.5; смета ФОТ — экспертная оценка, статьи CAPEX/OPEX подлежат уточнению по данным маркетинговой службы ПАО «Ак Барс Банк».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3.3. Сценарная выручка (числовое наполнение таблицы 3.3.2)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Б. Кумулятивная выручка стратегии по уровням продаж и сценариям, млн руб.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5"/>
        <w:gridCol w:w="1115"/>
        <w:gridCol w:w="1115"/>
        <w:gridCol w:w="1115"/>
        <w:gridCol w:w="1115"/>
        <w:gridCol w:w="2240"/>
      </w:tblGrid>
      <w:tr>
        <w:trPr>
          <w:tblHeader/>
        </w:trP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Сценарий / уровень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1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2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3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Расчёт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EE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Пессимистический (Π)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ср. чек уровня 2 — 0,8 млн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2 (подключения)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0,8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3,2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/ 3 / 6 объектов × 0,8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1 (КБС)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сделок нет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Π (кумулятивно)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0,8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3,2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8,0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0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Реалистический (Р)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ср. чек уровня 2 — 1,2 млн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2 (подключения)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72,0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/ 15 / 40 объектов × 1,2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1 (КБС)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сделка × 30 млн (фаза 3)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Р (кумулятивно)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6,0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24,0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102,0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102,0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Оптимистический (О)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ср. чек уровня 2 — 1,8 млн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2 (подключения)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27,0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135,0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405,0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405,0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 / 60 / 150 объектов × 1,8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Уровень 1 (КБС)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 (ф.2) + 2 (ф.3) × 30 млн</w:t>
            </w:r>
          </w:p>
        </w:tc>
      </w:tr>
      <w:tr>
        <w:tc>
          <w:tcPr>
            <w:tcW w:type="dxa" w:w="26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О (кумулятивно)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27,0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165,0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495,0</w:t>
            </w:r>
          </w:p>
        </w:tc>
        <w:tc>
          <w:tcPr>
            <w:tcW w:type="dxa" w:w="111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495,0</w:t>
            </w:r>
          </w:p>
        </w:tc>
        <w:tc>
          <w:tcPr>
            <w:tcW w:type="dxa" w:w="224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расчёт автора по данным таблиц 2.1.4, 3.2.1, [27; 32; 37; 34; 28; 29]. Выручка уровня 2 признаётся в фазе подключения объекта (первый год); число объектов и средние чеки — допущения, уточняются финансовой службой банка.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3.4. ROI и срок окупаемости (числовое наполнение таблицы 3.3.3)</w:t>
      </w:r>
    </w:p>
    <w:p>
      <w:pPr>
        <w:spacing w:after="120" w:line="360"/>
        <w:ind w:firstLine="567"/>
        <w:jc w:val="both"/>
      </w:pPr>
      <w:r>
        <w:t xml:space="preserve">ROI = (Кумулятивная выручка − Кумулятивный бюджет) / Кумулятивный бюджет × 100 %. Срок окупаемости — месяц, в котором кумулятивная выручка покрывает кумулятивный бюджет.</w:t>
      </w:r>
    </w:p>
    <w:p>
      <w:pPr>
        <w:spacing w:after="40" w:before="120" w:line="360"/>
        <w:jc w:val="center"/>
      </w:pPr>
      <w:r>
        <w:rPr>
          <w:i/>
          <w:iCs/>
        </w:rPr>
        <w:t xml:space="preserve">Таблица В. Чистый эффект, ROI и срок окупаемости по фазам и сценариям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5"/>
        <w:gridCol w:w="2100"/>
        <w:gridCol w:w="2100"/>
        <w:gridCol w:w="2100"/>
      </w:tblGrid>
      <w:tr>
        <w:trPr>
          <w:tblHeader/>
        </w:trP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1 (мес. 6)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2 (мес. 18)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Фаза 3 (мес. 36)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Кумулятивный бюджет,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8,35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19,05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34,00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EE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Чистый эффект Π,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−7,55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−15,85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−26,00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0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Чистый эффект Р,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−2,35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+4,95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+68,00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Чистый эффект О, млн руб.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+18,65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+145,95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+461,00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EE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ROI Π, %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−90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−83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−76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6F0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ROI Р, %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−28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+26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+200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2EA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ROI О, %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+223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+766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+1356</w:t>
            </w:r>
          </w:p>
        </w:tc>
      </w:tr>
      <w:tr>
        <w:tc>
          <w:tcPr>
            <w:tcW w:type="dxa" w:w="305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окупаемости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 — внутри фазы 1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 — ≈ мес. 10–11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Π — за горизонтом 36 мес.</w:t>
            </w:r>
          </w:p>
        </w:tc>
      </w:tr>
    </w:tbl>
    <w:p>
      <w:pPr>
        <w:spacing w:after="160" w:before="40" w:line="300"/>
        <w:jc w:val="left"/>
      </w:pPr>
      <w:r>
        <w:rPr>
          <w:i/>
          <w:iCs/>
          <w:sz w:val="24"/>
          <w:szCs w:val="24"/>
        </w:rPr>
        <w:t xml:space="preserve">Источник: расчёт автора по данным таблиц А и Б.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3.5. Расчёт точки безубыточности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Сколько подключений окупает бюджет. </w:t>
      </w:r>
      <w:r>
        <w:t xml:space="preserve">Точка безубыточности по уровню 2 рассчитывается как отношение бюджета к средней выручке с одного объекта. При полном бюджете 34,0 млн руб. за 36 месяцев необходимо: при средней выручке 0,8 млн руб./объект (Π) — около 43 объектов; при 1,2 млн руб./объект (Р) — около 29 объектов; при 1,8 млн руб./объект (О) — около 19 объектов. Чтобы окупить только бюджет фазы 1 (8,35 млн руб.) и выйти из стартового минуса, в реалистическом сценарии достаточно 7 подключений.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Unit-экономика типового B2B-объекта СКУД. </w:t>
      </w:r>
      <w:r>
        <w:t xml:space="preserve">Предприятие на 5 000 сотрудников, плата 1 000 руб. за сотрудника единовременно за подключение к пропускной системе, даёт 5,0 млн руб. выручки с одного объекта. В этой логике полный бюджет стратегии (34,0 млн руб.) окупается примерно 7 такими объектами, бюджет фазы 1 — менее чем 2 объектами. В пересчёте на сотрудников точка безубыточности по полному бюджету составляет 34,0 млн ÷ 1 000 руб. = 34 000 подключённых сотрудников.</w:t>
      </w:r>
    </w:p>
    <w:p>
      <w:pPr>
        <w:spacing w:after="120" w:line="360"/>
        <w:ind w:firstLine="567"/>
        <w:jc w:val="both"/>
      </w:pPr>
      <w:r>
        <w:rPr>
          <w:b/>
          <w:bCs/>
        </w:rPr>
        <w:t xml:space="preserve">Окупаемость через уровень 1. </w:t>
      </w:r>
      <w:r>
        <w:t xml:space="preserve">Одна сделка КБС под ключ со средним чеком 30 млн руб. самостоятельно покрывает около 88 % всего трёхлетнего бюджета стратегии. Таким образом, для выхода стратегии в ноль достаточно либо одной крупной сделки уровня 1, либо порядка 29 подключений уровня 2 в реалистическом сценарии — это и есть нижняя граница коммерческой результативности.</w:t>
      </w:r>
    </w:p>
    <w:p>
      <w:pPr>
        <w:pStyle w:val="Heading2"/>
        <w:spacing w:after="120" w:before="200" w:line="360"/>
      </w:pPr>
      <w:r>
        <w:rPr>
          <w:b/>
          <w:bCs/>
        </w:rPr>
        <w:t xml:space="preserve">3.6. Текстовый блок для вставки после таблицы В</w:t>
      </w:r>
    </w:p>
    <w:p>
      <w:pPr>
        <w:spacing w:after="120" w:line="360"/>
        <w:ind w:firstLine="567"/>
        <w:jc w:val="both"/>
      </w:pPr>
      <w:r>
        <w:rPr>
          <w:i/>
          <w:iCs/>
        </w:rPr>
        <w:t xml:space="preserve">«Расчёт показывает, что стратегия выходит на окупаемость уже в реалистическом сценарии: кумулятивная выручка покрывает кумулятивный бюджет ориентировочно к 10–11-му месяцу реализации, а к концу горизонта ROI достигает +200 %. В оптимистическом сценарии окупаемость достигается внутри первой фазы за счёт ранних подключений уровня 2 и сделки уровня 1. Пессимистический сценарий за горизонт 36 месяцев в ноль не выходит (ROI −76 %), что фиксирует нижнюю границу риска и обосновывает обязательный контроль по итогам фазы 1 с правом пересборки офферов. Точка безубыточности составляет около 29 подключений уровня 2 в реалистическом сценарии или одну крупную сделку уровня 1, что в пересчёте на типовой объект СКУД эквивалентно семи предприятиям масштаба 5 000 сотрудников. Помимо численного эффекта стратегия даёт косвенный, имиджевый и регуляторный эффекты, описанные ниже и не входящие в расчёт ROI».</w:t>
      </w:r>
    </w:p>
    <w:p>
      <w:pPr>
        <w:spacing w:after="40" w:line="360"/>
        <w:ind w:firstLine="567"/>
        <w:jc w:val="both"/>
      </w:pPr>
      <w:r>
        <w:rPr>
          <w:b/>
          <w:bCs/>
          <w:sz w:val="24"/>
          <w:szCs w:val="24"/>
        </w:rPr>
        <w:t xml:space="preserve">Примечание для автора: </w:t>
      </w:r>
      <w:r>
        <w:rPr>
          <w:sz w:val="24"/>
          <w:szCs w:val="24"/>
        </w:rPr>
        <w:t xml:space="preserve">после согласования реальных значений с банком достаточно заменить допущения в § 3.1 — все таблицы и выводы пересчитываются по тем же формулам. Сами формулы (ROI, окупаемость, точка безубыточности) остаются неизменными.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2026-06-03T19:46:09.267Z</dcterms:created>
  <dcterms:modified xsi:type="dcterms:W3CDTF">2026-06-03T19:46:09.281Z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