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60"/>
        <w:jc w:val="center"/>
      </w:pPr>
      <w:r>
        <w:rPr>
          <w:b/>
          <w:bCs/>
          <w:sz w:val="30"/>
          <w:szCs w:val="30"/>
        </w:rPr>
        <w:t xml:space="preserve">Экономическое обоснование стратегии продвижения Face2 в B2B-сегменте</w:t>
      </w:r>
    </w:p>
    <w:p>
      <w:pPr>
        <w:spacing w:after="240" w:line="360"/>
        <w:jc w:val="center"/>
      </w:pPr>
      <w:r>
        <w:rPr>
          <w:i/>
          <w:iCs/>
        </w:rPr>
        <w:t xml:space="preserve">(расчётный блок § 3.3 с реальными тарифами ГИС ЕБС)</w:t>
      </w:r>
    </w:p>
    <w:p>
      <w:pPr>
        <w:spacing w:after="120" w:line="360"/>
        <w:ind w:firstLine="567"/>
        <w:jc w:val="both"/>
      </w:pPr>
      <w:r>
        <w:t xml:space="preserve">Расчёт построен на реальных тарифах ГИС ЕБС, представленных на отраслевом совещании АО «ЦБТ» 29.01.2026, и на параметрах продуктовой линейки Face2. B2B-выручка формируется по двум уровням продаж (таблица 2.1.4): уровень 1 — поставка КБС под ключ аккредитованным операторам, уровень 2 — подключение конечных объектов к КБС Ак Барс Банка (БиоСКУД и транзакционные сервисы). Значения, помеченные как допущения, подлежат уточнению финансовой службой банка.</w:t>
      </w:r>
    </w:p>
    <w:p>
      <w:pPr>
        <w:pStyle w:val="Heading1"/>
        <w:spacing w:after="160" w:before="240" w:line="360"/>
      </w:pPr>
      <w:r>
        <w:rPr>
          <w:b/>
          <w:bCs/>
        </w:rPr>
        <w:t xml:space="preserve">1. Исходные данные и допущения</w:t>
      </w:r>
    </w:p>
    <w:p>
      <w:pPr>
        <w:pStyle w:val="Heading2"/>
        <w:spacing w:after="120" w:before="200" w:line="360"/>
      </w:pPr>
      <w:r>
        <w:rPr>
          <w:b/>
          <w:bCs/>
        </w:rPr>
        <w:t xml:space="preserve">1.1. Тарифы ГИС ЕБС (бенчмарк, АО «ЦБТ», 29.01.2026)</w:t>
      </w:r>
    </w:p>
    <w:p>
      <w:pPr>
        <w:spacing w:after="120" w:line="360"/>
        <w:ind w:firstLine="567"/>
        <w:jc w:val="both"/>
      </w:pPr>
      <w:r>
        <w:t xml:space="preserve">Тарифы ЕБС — это себестоимость услуги для оператора КБС; конечному клиенту банк выставляет цену сверху (оборудование, интеграция, сопровождение, маржа). Тарифы используются как нижняя граница и как база для расчёта маржинальности: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b/>
          <w:bCs/>
        </w:rPr>
        <w:t xml:space="preserve">БиоСКУД — 25 ₽ за сотрудника в год</w:t>
      </w:r>
      <w:r>
        <w:t xml:space="preserve"> (безлимит проходов; ранее 1,19 ₽ за проход);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b/>
          <w:bCs/>
        </w:rPr>
        <w:t xml:space="preserve">подтверждение возраста — 2,55 ₽ за событие</w:t>
      </w:r>
      <w:r>
        <w:t xml:space="preserve"> (ранее 8,5 ₽);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b/>
          <w:bCs/>
        </w:rPr>
        <w:t xml:space="preserve">идентификация МФО и банков — 4 ₽ за операцию;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b/>
          <w:bCs/>
        </w:rPr>
        <w:t xml:space="preserve">импорт вектора — 3,9 ₽.</w:t>
      </w:r>
    </w:p>
    <w:p>
      <w:pPr>
        <w:pStyle w:val="Heading2"/>
        <w:spacing w:after="120" w:before="200" w:line="360"/>
      </w:pPr>
      <w:r>
        <w:rPr>
          <w:b/>
          <w:bCs/>
        </w:rPr>
        <w:t xml:space="preserve">1.2. Параметры уровней продаж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b/>
          <w:bCs/>
        </w:rPr>
        <w:t xml:space="preserve">Уровень 1 (КБС под ключ): </w:t>
      </w:r>
      <w:r>
        <w:t xml:space="preserve">средний чек сделки 30 млн руб. (лицензия + внедрение + сопровождение). Адресный рынок ограничен — на 31.12.2025 в стране 16 аккредитованных организаций, поэтому сделки единичны. Число сделок за горизонт: 0 (Π) / 1 (Р) / 3 (О).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b/>
          <w:bCs/>
        </w:rPr>
        <w:t xml:space="preserve">Уровень 2А (БиоСКУД-объекты): </w:t>
      </w:r>
      <w:r>
        <w:t xml:space="preserve">цена клиенту 1 000 руб. за сотрудника в первый год (терминалы + интеграция + сопровождение + первый год абонентской платы), далее 300 руб. за сотрудника в год; себестоимость ЕБС 25 руб. за сотрудника в год. Средний объект: 1 000 (Π) / 2 000 (Р) / 3 000 (О) сотрудников. Подключено объектов нарастающим итогом по фазам: Π — 1 / 3 / 7; Р — 2 / 10 / 30; О — 6 / 26 / 76.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b/>
          <w:bCs/>
        </w:rPr>
        <w:t xml:space="preserve">Уровень 2Б (транзакционные — ритейл, вендинг, МФО): </w:t>
      </w:r>
      <w:r>
        <w:t xml:space="preserve">средняя годовая выручка с объекта (надбавка банка над тарифом ЕБС за событие) — 0,1 (Π) / 0,2 (Р) / 0,3 (О) млн руб. Подключено объектов нарастающим итогом по фазам: Π — 5 / 15 / 40; Р — 10 / 90 / 250; О — 50 / 250 / 800.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b/>
          <w:bCs/>
        </w:rPr>
        <w:t xml:space="preserve">Горизонт: </w:t>
      </w:r>
      <w:r>
        <w:t xml:space="preserve">36 месяцев, три фазы (1 — мес. 1–6; 2 — мес. 7–18; 3 — мес. 19–36).</w:t>
      </w:r>
    </w:p>
    <w:p>
      <w:pPr>
        <w:pStyle w:val="Heading1"/>
        <w:spacing w:after="160" w:before="240" w:line="360"/>
      </w:pPr>
      <w:r>
        <w:rPr>
          <w:b/>
          <w:bCs/>
        </w:rPr>
        <w:t xml:space="preserve">2. Бюджет стратегии</w:t>
      </w:r>
    </w:p>
    <w:p>
      <w:pPr>
        <w:spacing w:after="40" w:before="120" w:line="360"/>
        <w:jc w:val="center"/>
      </w:pPr>
      <w:r>
        <w:rPr>
          <w:i/>
          <w:iCs/>
        </w:rPr>
        <w:t xml:space="preserve">Таблица А. Бюджет стратегии по статьям и фазам, млн руб.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5"/>
        <w:gridCol w:w="1575"/>
        <w:gridCol w:w="1575"/>
        <w:gridCol w:w="1575"/>
        <w:gridCol w:w="1575"/>
      </w:tblGrid>
      <w:tr>
        <w:trPr>
          <w:tblHeader/>
        </w:trP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Статья затрат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1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2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3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ФОТ команды (маркетолог 2,0 + аналитик 2,0 + дизайнер 1,5)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2,75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5,50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8,25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16,50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Переоснащение face2.ru (CTA, ROI-калькулятор)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Брендинг и SMM (в связке с зонтиком «Мигом»)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Контент-студия и производство кейсов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0,50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0,50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Перформанс-реклама и SMM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Выставки и конференции (0,3 млн/мероприятие)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0,60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Независимая сертификация (NIST FRTE, iBeta Level 2)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Референсная программа (NPS, кейсы)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за фазу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8,35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10,70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14,95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34,00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Кумулятивный бюджет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8,35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19,05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34,00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60" w:before="40" w:line="300"/>
        <w:jc w:val="left"/>
      </w:pPr>
      <w:r>
        <w:rPr>
          <w:i/>
          <w:iCs/>
          <w:sz w:val="24"/>
          <w:szCs w:val="24"/>
        </w:rPr>
        <w:t xml:space="preserve">Источник: составлено автором; смета подлежит уточнению маркетинговой службой банка. Перформанс-бюджет удержан умеренным за счёт опоры на потребительский зонтик «Мигом» (АО «ЦБТ») вместо собственного федерального B2C-маркетинга.</w:t>
      </w:r>
    </w:p>
    <w:p>
      <w:pPr>
        <w:pStyle w:val="Heading1"/>
        <w:spacing w:after="160" w:before="240" w:line="360"/>
      </w:pPr>
      <w:r>
        <w:rPr>
          <w:b/>
          <w:bCs/>
        </w:rPr>
        <w:t xml:space="preserve">3. Unit-экономика B2B-объекта (БиоСКУД)</w:t>
      </w:r>
    </w:p>
    <w:p>
      <w:pPr>
        <w:spacing w:after="120" w:line="360"/>
        <w:ind w:firstLine="567"/>
        <w:jc w:val="both"/>
      </w:pPr>
      <w:r>
        <w:t xml:space="preserve">Типовой объект — предприятие на 5 000 сотрудников (масштаб, подтверждённый внутренней инсталляцией Face2 в Ак Барс Банке: более 5 000 сотрудников, около 200 терминалов). Экономика одного объекта приведена в таблице Б.</w:t>
      </w:r>
    </w:p>
    <w:p>
      <w:pPr>
        <w:spacing w:after="40" w:before="120" w:line="360"/>
        <w:jc w:val="center"/>
      </w:pPr>
      <w:r>
        <w:rPr>
          <w:i/>
          <w:iCs/>
        </w:rPr>
        <w:t xml:space="preserve">Таблица Б. Экономика одного объекта БиоСКУД (5 000 сотрудников), млн руб.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5"/>
        <w:gridCol w:w="2400"/>
        <w:gridCol w:w="2400"/>
      </w:tblGrid>
      <w:tr>
        <w:trPr>
          <w:tblHeader/>
        </w:trPr>
        <w:tc>
          <w:tcPr>
            <w:tcW w:type="dxa" w:w="45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Первый год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 2-го года</w:t>
            </w:r>
          </w:p>
        </w:tc>
      </w:tr>
      <w:tr>
        <w:tc>
          <w:tcPr>
            <w:tcW w:type="dxa" w:w="45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Выручка: разовая плата (1 000 ₽/сотр.)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5,000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45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Выручка: абонентская плата (300 ₽/сотр./год)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1,500</w:t>
            </w:r>
          </w:p>
        </w:tc>
      </w:tr>
      <w:tr>
        <w:tc>
          <w:tcPr>
            <w:tcW w:type="dxa" w:w="45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Себестоимость ЕБС (25 ₽/сотр./год)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0,125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0,125</w:t>
            </w:r>
          </w:p>
        </w:tc>
      </w:tr>
      <w:tr>
        <w:tc>
          <w:tcPr>
            <w:tcW w:type="dxa" w:w="45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Валовая прибыль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4,875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1,375</w:t>
            </w:r>
          </w:p>
        </w:tc>
      </w:tr>
      <w:tr>
        <w:tc>
          <w:tcPr>
            <w:tcW w:type="dxa" w:w="45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Валовая маржа абонентской платы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≈ 92 %</w:t>
            </w:r>
          </w:p>
        </w:tc>
      </w:tr>
    </w:tbl>
    <w:p>
      <w:pPr>
        <w:spacing w:after="160" w:before="40" w:line="300"/>
        <w:jc w:val="left"/>
      </w:pPr>
      <w:r>
        <w:rPr>
          <w:i/>
          <w:iCs/>
          <w:sz w:val="24"/>
          <w:szCs w:val="24"/>
        </w:rPr>
        <w:t xml:space="preserve">Источник: расчёт автора; тариф ЕБС 25 ₽/сотр./год — данные АО «ЦБТ» (29.01.2026); цена клиенту — допущение.</w:t>
      </w:r>
    </w:p>
    <w:p>
      <w:pPr>
        <w:spacing w:after="120" w:line="360"/>
        <w:ind w:firstLine="567"/>
        <w:jc w:val="both"/>
      </w:pPr>
      <w:r>
        <w:t xml:space="preserve">Себестоимость ЕБС (25 руб. на сотрудника в год) составляет лишь 2,5 % разовой платы и около 8 % абонентской, поэтому маржинальность подключения высокая, а со второго года объект приносит устойчивый доход при минимальных издержках. Это и есть экономическая основа модели уровня 2.</w:t>
      </w:r>
    </w:p>
    <w:p>
      <w:pPr>
        <w:pStyle w:val="Heading1"/>
        <w:spacing w:after="160" w:before="240" w:line="360"/>
      </w:pPr>
      <w:r>
        <w:rPr>
          <w:b/>
          <w:bCs/>
        </w:rPr>
        <w:t xml:space="preserve">4. Сценарная выручка B2B (Π / Р / О)</w:t>
      </w:r>
    </w:p>
    <w:p>
      <w:pPr>
        <w:spacing w:after="120" w:line="360"/>
        <w:ind w:firstLine="567"/>
        <w:jc w:val="both"/>
      </w:pPr>
      <w:r>
        <w:t xml:space="preserve">Выручка считается кумулятивно по фазам. Для уровня 2А признаётся первогодовая выручка с подключённого объекта (доминирует разовая плата); для уровня 2Б — годовая выручка с активного объекта (рекуррентные поступления последующих лет в расчёт не включены, что делает оценку консервативной).</w:t>
      </w:r>
    </w:p>
    <w:p>
      <w:pPr>
        <w:spacing w:after="40" w:before="120" w:line="360"/>
        <w:jc w:val="center"/>
      </w:pPr>
      <w:r>
        <w:rPr>
          <w:i/>
          <w:iCs/>
        </w:rPr>
        <w:t xml:space="preserve">Таблица В. Кумулятивная B2B-выручка по уровням продаж и сценариям, млн руб.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5"/>
        <w:gridCol w:w="1100"/>
        <w:gridCol w:w="1100"/>
        <w:gridCol w:w="1100"/>
        <w:gridCol w:w="1100"/>
        <w:gridCol w:w="2500"/>
      </w:tblGrid>
      <w:tr>
        <w:trPr>
          <w:tblHeader/>
        </w:trP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Сценарий / уровень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1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2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3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Расчёт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EE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Пессимистический (Π)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СКУД-объект 1 000 сотр.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Ур. 1 (КБС)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сделок нет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Ур. 2А (СКУД)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1/3/7 об. × 1,0 млн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Ур. 2Б (транзакц.)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0,5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5/15/40 об. × 0,1 млн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Π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1,5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4,5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0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Реалистический (Р)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СКУД-объект 2 000 сотр.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Ур. 1 (КБС)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сделка × 30 млн (ф.3)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Ур. 2А (СКУД)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2/10/30 об. × 2,0 млн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Ур. 2Б (транзакц.)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10/90/250 об. × 0,2 млн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Р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38,0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140,0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140,0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Оптимистический (О)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СКУД-объект 3 000 сотр.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Ур. 1 (КБС)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(ф.2) + 2 (ф.3) × 30 млн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Ур. 2А (СКУД)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78,0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228,0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228,0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6/26/76 об. × 3,0 млн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Ур. 2Б (транзакц.)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240,0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240,0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50/250/800 об. × 0,3 млн</w:t>
            </w:r>
          </w:p>
        </w:tc>
      </w:tr>
      <w:tr>
        <w:tc>
          <w:tcPr>
            <w:tcW w:type="dxa" w:w="24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О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33,0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183,0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558,0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558,0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160" w:before="40" w:line="300"/>
        <w:jc w:val="left"/>
      </w:pPr>
      <w:r>
        <w:rPr>
          <w:i/>
          <w:iCs/>
          <w:sz w:val="24"/>
          <w:szCs w:val="24"/>
        </w:rPr>
        <w:t xml:space="preserve">Источник: расчёт автора по тарифам АО «ЦБТ» (29.01.2026), продуктовым параметрам Face2 и данным [27; 32; 34]. Число объектов и средние чеки — допущения, уточняются банком.</w:t>
      </w:r>
    </w:p>
    <w:p>
      <w:pPr>
        <w:pStyle w:val="Heading1"/>
        <w:spacing w:after="160" w:before="240" w:line="360"/>
      </w:pPr>
      <w:r>
        <w:rPr>
          <w:b/>
          <w:bCs/>
        </w:rPr>
        <w:t xml:space="preserve">5. ROI и срок окупаемости</w:t>
      </w:r>
    </w:p>
    <w:p>
      <w:pPr>
        <w:spacing w:after="120" w:line="360"/>
        <w:ind w:firstLine="567"/>
        <w:jc w:val="both"/>
      </w:pPr>
      <w:r>
        <w:t xml:space="preserve">ROI = (Кумулятивная выручка − Кумулятивный бюджет) / Кумулятивный бюджет × 100 %. Срок окупаемости — момент, когда кумулятивная выручка покрывает кумулятивный бюджет.</w:t>
      </w:r>
    </w:p>
    <w:p>
      <w:pPr>
        <w:spacing w:after="40" w:before="120" w:line="360"/>
        <w:jc w:val="center"/>
      </w:pPr>
      <w:r>
        <w:rPr>
          <w:i/>
          <w:iCs/>
        </w:rPr>
        <w:t xml:space="preserve">Таблица Г. Чистый эффект, ROI и срок окупаемости по фазам и сценариям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5"/>
        <w:gridCol w:w="2100"/>
        <w:gridCol w:w="2100"/>
        <w:gridCol w:w="2100"/>
      </w:tblGrid>
      <w:tr>
        <w:trPr>
          <w:tblHeader/>
        </w:trP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1 (мес. 6)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2 (мес. 18)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3 (мес. 36)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Кумулятивный бюджет, млн руб.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8,35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19,05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34,00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EE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Чистый эффект Π, млн руб.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−6,85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−14,55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−23,00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0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Чистый эффект Р, млн руб.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−2,35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+18,95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+106,00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Чистый эффект О, млн руб.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+24,65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+163,95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+524,00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EE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ROI Π, %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−82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−76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−68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0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ROI Р, %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−28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+99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+312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ROI О, %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+295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+861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+1541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 окупаемости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 — внутри фазы 1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 — ≈ мес. 7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Π — за горизонтом 36 мес.</w:t>
            </w:r>
          </w:p>
        </w:tc>
      </w:tr>
    </w:tbl>
    <w:p>
      <w:pPr>
        <w:spacing w:after="160" w:before="40" w:line="300"/>
        <w:jc w:val="left"/>
      </w:pPr>
      <w:r>
        <w:rPr>
          <w:i/>
          <w:iCs/>
          <w:sz w:val="24"/>
          <w:szCs w:val="24"/>
        </w:rPr>
        <w:t xml:space="preserve">Источник: расчёт автора по данным таблиц А и В.</w:t>
      </w:r>
    </w:p>
    <w:p>
      <w:pPr>
        <w:pStyle w:val="Heading1"/>
        <w:spacing w:after="160" w:before="240" w:line="360"/>
      </w:pPr>
      <w:r>
        <w:rPr>
          <w:b/>
          <w:bCs/>
        </w:rPr>
        <w:t xml:space="preserve">6. Точка безубыточности B2B</w:t>
      </w:r>
    </w:p>
    <w:p>
      <w:pPr>
        <w:spacing w:after="120" w:line="360"/>
        <w:ind w:firstLine="567"/>
        <w:jc w:val="both"/>
      </w:pPr>
      <w:r>
        <w:rPr>
          <w:b/>
          <w:bCs/>
        </w:rPr>
        <w:t xml:space="preserve">Сколько подключений окупает бюджет. </w:t>
      </w:r>
      <w:r>
        <w:t xml:space="preserve">Точка безубыточности по уровню 2А = бюджет ÷ выручка с одного объекта. При полном бюджете 34,0 млн руб.: при объекте 1 000 сотрудников (1,0 млн руб.) — около 34 объектов; при 2 000 сотрудников (2,0 млн руб.) — около 17 объектов; при 3 000 сотрудников (3,0 млн руб.) — 11–12 объектов. Чтобы окупить бюджет фазы 1 (8,35 млн руб.) в реалистическом сценарии, достаточно 4 объектов.</w:t>
      </w:r>
    </w:p>
    <w:p>
      <w:pPr>
        <w:spacing w:after="120" w:line="360"/>
        <w:ind w:firstLine="567"/>
        <w:jc w:val="both"/>
      </w:pPr>
      <w:r>
        <w:rPr>
          <w:b/>
          <w:bCs/>
        </w:rPr>
        <w:t xml:space="preserve">В пересчёте на сотрудников. </w:t>
      </w:r>
      <w:r>
        <w:t xml:space="preserve">При цене 1 000 руб. за сотрудника полный бюджет окупается 34 000 подключёнными сотрудниками. Один объект масштаба внутренней инсталляции банка (5 000 сотрудников) даёт 5,0 млн руб. выручки первого года — то есть весь трёхлетний бюджет окупается примерно 7 такими объектами, а бюджет фазы 1 — менее чем 2 объектами.</w:t>
      </w:r>
    </w:p>
    <w:p>
      <w:pPr>
        <w:spacing w:after="120" w:line="360"/>
        <w:ind w:firstLine="567"/>
        <w:jc w:val="both"/>
      </w:pPr>
      <w:r>
        <w:rPr>
          <w:b/>
          <w:bCs/>
        </w:rPr>
        <w:t xml:space="preserve">Через уровень 1. </w:t>
      </w:r>
      <w:r>
        <w:t xml:space="preserve">Одна сделка КБС под ключ (30 млн руб.) самостоятельно покрывает около 88 % всего трёхлетнего бюджета. Нижняя граница коммерческой результативности — одна сделка уровня 1 либо около 17 СКУД-объектов уровня 2 в реалистическом сценарии.</w:t>
      </w:r>
    </w:p>
    <w:p>
      <w:pPr>
        <w:pStyle w:val="Heading1"/>
        <w:spacing w:after="160" w:before="240" w:line="360"/>
      </w:pPr>
      <w:r>
        <w:rPr>
          <w:b/>
          <w:bCs/>
        </w:rPr>
        <w:t xml:space="preserve">7. Текстовый блок для вставки после таблицы Г</w:t>
      </w:r>
    </w:p>
    <w:p>
      <w:pPr>
        <w:spacing w:after="120" w:line="360"/>
        <w:ind w:firstLine="567"/>
        <w:jc w:val="both"/>
      </w:pPr>
      <w:r>
        <w:rPr>
          <w:i/>
          <w:iCs/>
        </w:rPr>
        <w:t xml:space="preserve">«Расчёт на реальных тарифах ГИС ЕБС показывает, что стратегия окупается уже в реалистическом сценарии: кумулятивная выручка покрывает кумулятивный бюджет ориентировочно к 7-му месяцу, к концу горизонта ROI достигает +312 %. В оптимистическом сценарии окупаемость наступает внутри первой фазы за счёт раннего подключения крупных СКУД-объектов и сделки уровня 1. Пессимистический сценарий за 36 месяцев в ноль не выходит (ROI −68 %), что фиксирует нижнюю границу риска и обосновывает контроль по итогам фазы 1. Точка безубыточности составляет около 17 СКУД-объектов уровня 2 в реалистическом сценарии либо одну сделку уровня 1; в пересчёте на типовой объект это эквивалентно семи предприятиям масштаба 5 000 сотрудников. Высокая маржинальность модели (себестоимость ЕБС 25 руб. на сотрудника в год против абонентской платы 300 руб.) обеспечивает устойчивый доход со второго года, а ограниченность рынка уровня 1 (16 аккредитованных операторов на 31.12.2025) подтверждает выбор уровня 2 как основного драйвера объёма. Дополнительный регуляторный спрос формируют обязательная биометрическая идентификация МФО с 01.03.2026 с правом делегирования банку, перевод школ в третью категорию объектов КИИ и запуск регистрации сделок с недвижимостью по биометрии с 01.07.2026».</w:t>
      </w:r>
    </w:p>
    <w:p>
      <w:pPr>
        <w:spacing w:after="40" w:line="360"/>
        <w:ind w:firstLine="567"/>
        <w:jc w:val="both"/>
      </w:pPr>
      <w:r>
        <w:rPr>
          <w:b/>
          <w:bCs/>
          <w:sz w:val="24"/>
          <w:szCs w:val="24"/>
        </w:rPr>
        <w:t xml:space="preserve">Примечание для автора: </w:t>
      </w:r>
      <w:r>
        <w:rPr>
          <w:sz w:val="24"/>
          <w:szCs w:val="24"/>
        </w:rPr>
        <w:t xml:space="preserve">при получении реальных значений от банка достаточно заменить допущения в разделе 1 — все таблицы пересчитываются по тем же формулам. Тарифы ЕБС лучше продублировать публичной ссылкой (ebs.ru), так как презентация ЦБТ — внутриотраслевой материал.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2026-06-03T20:04:17.989Z</dcterms:created>
  <dcterms:modified xsi:type="dcterms:W3CDTF">2026-06-03T20:04:18.003Z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