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определяется тем, что в современных рыночных условиях коммерческий успех инновационного продукта зависит не только от его технологического совершенства, но и от грамотно выстроенной стратегии продвижения: новизна сама по себе не гарантирует спроса, а вывод нового продукта на рынок выступает самостоятельной управленческой задачей. Особую значимость продвижение приобретает для биометрических технологий — одной из наиболее динамично развивающихся областей инновационных продуктов, специфика которой состоит в строгом государственном регулировании оборота персональных данных и в необходимости преодоления барьера доверия со стороны пользователей; это превращает продуманную стратегию продвижения из вспомогательного в определяющее условие коммерциализации. Российский рынок биометрических технологий перешёл в стадию массовой коммерциализации: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Одновременно ужесточился регуляторный контур: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коммерческой биометрической системы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В отечественной научной традиции этот подход получает развитие через установление взаимосвязи между инновационной активностью и конкурентоспособностью как отдельного предприятия, так и национальной экономики в целом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товаров традиционного типа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2039788"/>
            <wp:effectExtent l="0" t="0" r="0" b="0"/>
            <wp:docPr id="1001" name="Picture 1001" descr="Рис.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_1_1_1_signs.png" descr="Рис. 1.1.1"/>
                    <pic:cNvPicPr/>
                  </pic:nvPicPr>
                  <pic:blipFill>
                    <a:blip r:embed="rId5"/>
                    <a:stretch>
                      <a:fillRect/>
                    </a:stretch>
                  </pic:blipFill>
                  <pic:spPr>
                    <a:xfrm>
                      <a:off x="0" y="0"/>
                      <a:ext cx="6119365" cy="2039788"/>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3059682"/>
            <wp:effectExtent l="0" t="0" r="0" b="0"/>
            <wp:docPr id="1002" name="Picture 1002" descr="Рис.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_1_1_2_rogers.png" descr="Рис. 1.1.2"/>
                    <pic:cNvPicPr/>
                  </pic:nvPicPr>
                  <pic:blipFill>
                    <a:blip r:embed="rId6"/>
                    <a:stretch>
                      <a:fillRect/>
                    </a:stretch>
                  </pic:blipFill>
                  <pic:spPr>
                    <a:xfrm>
                      <a:off x="0" y="0"/>
                      <a:ext cx="6119365" cy="3059682"/>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2719717"/>
            <wp:effectExtent l="0" t="0" r="0" b="0"/>
            <wp:docPr id="1003" name="Picture 1003" descr="Рис.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_1_1_3_lifecycle.png" descr="Рис. 1.1.3"/>
                    <pic:cNvPicPr/>
                  </pic:nvPicPr>
                  <pic:blipFill>
                    <a:blip r:embed="rId7"/>
                    <a:stretch>
                      <a:fillRect/>
                    </a:stretch>
                  </pic:blipFill>
                  <pic:spPr>
                    <a:xfrm>
                      <a:off x="0" y="0"/>
                      <a:ext cx="6119365" cy="2719717"/>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1869805"/>
            <wp:effectExtent l="0" t="0" r="0" b="0"/>
            <wp:docPr id="1004" name="Picture 1004" descr="Рис.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_1_2_1_stp.png" descr="Рис. 1.2.1"/>
                    <pic:cNvPicPr/>
                  </pic:nvPicPr>
                  <pic:blipFill>
                    <a:blip r:embed="rId8"/>
                    <a:stretch>
                      <a:fillRect/>
                    </a:stretch>
                  </pic:blipFill>
                  <pic:spPr>
                    <a:xfrm>
                      <a:off x="0" y="0"/>
                      <a:ext cx="6119365" cy="1869805"/>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биометрических технологий в банковском секторе требует не создания принципиально нового инструментария, а особой настройки стандартных маркетинговых инструментов: смещения акцентов в воронке продвижения, перераспределения веса между элементами комплекса 7P и изменения логики выбора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2719717"/>
            <wp:effectExtent l="0" t="0" r="0" b="0"/>
            <wp:docPr id="1005" name="Picture 1005" descr="Рис.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_1_3_1_biometry_areas.png" descr="Рис. 1.3.1"/>
                    <pic:cNvPicPr/>
                  </pic:nvPicPr>
                  <pic:blipFill>
                    <a:blip r:embed="rId9"/>
                    <a:stretch>
                      <a:fillRect/>
                    </a:stretch>
                  </pic:blipFill>
                  <pic:spPr>
                    <a:xfrm>
                      <a:off x="0" y="0"/>
                      <a:ext cx="6119365" cy="2719717"/>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866 203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 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3432814"/>
            <wp:effectExtent l="0" t="0" r="0" b="0"/>
            <wp:docPr id="1006" name="Picture 1006" descr="Рис.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_2_1_1_face2_ebs.png" descr="Рис. 2.1.1"/>
                    <pic:cNvPicPr/>
                  </pic:nvPicPr>
                  <pic:blipFill>
                    <a:blip r:embed="rId10"/>
                    <a:stretch>
                      <a:fillRect/>
                    </a:stretch>
                  </pic:blipFill>
                  <pic:spPr>
                    <a:xfrm>
                      <a:off x="0" y="0"/>
                      <a:ext cx="6119365" cy="3432814"/>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вынесены в приложение 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приведённое в приложении А,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приложении А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 Взвешенный итоговый балл каждого игрока рассчитывается по формуле (2.2.1):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S = Σ (w</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 × b</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(2.2.1)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S — взвешенный итоговый балл игрока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вес i-го критерия (КФУ), Σ 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b</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балл игрока по i-му критерию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i — номер критерия, i = 1, …, 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Результаты применения формулы (2.2.1) к восьми критериям приведены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2.2.5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6119365" cy="3703826"/>
            <wp:effectExtent l="0" t="0" r="0" b="0"/>
            <wp:docPr id="1007" name="Picture 1007" descr="Рис.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_2_3_1_funnel.png" descr="Рис. 2.3.1"/>
                    <pic:cNvPicPr/>
                  </pic:nvPicPr>
                  <pic:blipFill>
                    <a:blip r:embed="rId11"/>
                    <a:stretch>
                      <a:fillRect/>
                    </a:stretch>
                  </pic:blipFill>
                  <pic:spPr>
                    <a:xfrm>
                      <a:off x="0" y="0"/>
                      <a:ext cx="6119365" cy="3703826"/>
                    </a:xfrm>
                    <a:prstGeom prst="rect">
                      <a:avLst/>
                    </a:prstGeom>
                  </pic:spPr>
                </pic:pic>
              </a:graphicData>
            </a:graphic>
          </wp:inline>
        </w:drawing>
      </w:r>
    </w:p>
    <w:p>
      <w:pPr>
        <w:keepLines/>
        <w:spacing w:before="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2.3.4.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2.3.5.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(приложение А) и балльная экспертная оценка по восьми ключевым факторам успеха (таблица 2.2.5)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2.3.5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2.3.5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2.3.5)</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2.3.5)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что исправляем: это три кластера пробелов (охват, аргументация, инфраструктура воронки), к которым сведены все восемь пробелов таблицы 2.3.5. Вторая ось — для кого работаем: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пробел → кластер → направление → мероприятие → показатель.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2.3.5),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2.2.5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2.2.5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продвижения Face2: интегрированная push-pull-стратегия с асимметричным усилением pull на втором уровне продаж. Push (уровень 1) — поставка КБС под ключ заказчикам B2B/B2G; pull (уровень 2) — массовое цифровое продвижение сервисов Face2Pay, Face2Pass, Face2Check-in и просвещение пользователей</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сформировать доверие у приоритетных плательщиков B2B и B2G при вспомогательной работе с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три фазы: активация (1–6 мес.), масштабирование (7–18 мес.), закрепление (19–36 мес.). Календарь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внедрения ≥ 3× к уровню 2025 года; доля pull сопоставима с push; конверсия сайта в заявку 1,5–3 %; окупаемость ≈ 7-й мес. (дисконт. ≈ 1,2 года); положительный ЧДД в сценариях Р и О. Полная система KPI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АББ; распределение ролей — в таблице 3.3.7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2.3.5), опирается на сильные стороны Face2 (таблица 2.2.5)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(для кого работаем); вместе они закрывают все три кластера пробелов таблицы 2.3.5.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2.3.5.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2.3.5: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2.3.5</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54"/>
        <w:gridCol w:w="892"/>
        <w:gridCol w:w="713"/>
        <w:gridCol w:w="892"/>
        <w:gridCol w:w="892"/>
        <w:gridCol w:w="892"/>
      </w:tblGrid>
      <w:tr>
        <w:trPr>
          <w:tblHeader/>
          <w:cantSplit/>
        </w:trPr>
        <w:tc>
          <w:tcPr>
            <w:tcW w:w="53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8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за фазу</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5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c>
          <w:tcPr>
            <w:tcW w:w="8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2.3.5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целевых значений всех ключевых KPI по фазам в реалистическом сценарии — вместе с тремя качественными эффектами стратегии — вынесен в итоговую таблицу 3.3.8,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концу каждой фазы.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2.3.5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2.3.5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дополненных дисконтированными показателями (ЧДД, PI, IRR, DPP),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(3.3.1):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ROI = (В − Б) / Б × 100 %</w:t>
      </w:r>
      <w:r>
        <w:tab/>
      </w:r>
      <w:r>
        <w:rPr>
          <w:rFonts w:ascii="Times New Roman" w:hAnsi="Times New Roman" w:cs="Times New Roman" w:eastAsia="Times New Roman"/>
          <w:color w:val="000000"/>
          <w:sz w:val="28"/>
          <w:szCs w:val="28"/>
          <w:lang w:val="ru-RU"/>
        </w:rPr>
        <w:t xml:space="preserve">(3.3.1)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В — кумулятивная выручка стратегии за рассматриваемый горизонт, млн руб. (таблица 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кумулятивный бюджет стратегии за тот же горизонт, млн руб. (таблица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рассчитываемое по формуле (3.3.2):</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N</w:t>
      </w:r>
      <w:r>
        <w:rPr>
          <w:rFonts w:ascii="Times New Roman" w:hAnsi="Times New Roman" w:cs="Times New Roman" w:eastAsia="Times New Roman"/>
          <w:i/>
          <w:iCs/>
          <w:color w:val="000000"/>
          <w:sz w:val="28"/>
          <w:szCs w:val="28"/>
          <w:vertAlign w:val="subscript"/>
          <w:lang w:val="ru-RU"/>
        </w:rPr>
        <w:t xml:space="preserve">б</w:t>
      </w:r>
      <w:r>
        <w:rPr>
          <w:rFonts w:ascii="Times New Roman" w:hAnsi="Times New Roman" w:cs="Times New Roman" w:eastAsia="Times New Roman"/>
          <w:i/>
          <w:iCs/>
          <w:color w:val="000000"/>
          <w:sz w:val="28"/>
          <w:szCs w:val="28"/>
          <w:lang w:val="ru-RU"/>
        </w:rPr>
        <w:t xml:space="preserve">езуб = Б / В</w:t>
      </w:r>
      <w:r>
        <w:rPr>
          <w:rFonts w:ascii="Times New Roman" w:hAnsi="Times New Roman" w:cs="Times New Roman" w:eastAsia="Times New Roman"/>
          <w:i/>
          <w:iCs/>
          <w:color w:val="000000"/>
          <w:sz w:val="28"/>
          <w:szCs w:val="28"/>
          <w:vertAlign w:val="subscript"/>
          <w:lang w:val="ru-RU"/>
        </w:rPr>
        <w:t xml:space="preserve">о</w:t>
      </w:r>
      <w:r>
        <w:rPr>
          <w:rFonts w:ascii="Times New Roman" w:hAnsi="Times New Roman" w:cs="Times New Roman" w:eastAsia="Times New Roman"/>
          <w:i/>
          <w:iCs/>
          <w:color w:val="000000"/>
          <w:sz w:val="28"/>
          <w:szCs w:val="28"/>
          <w:lang w:val="ru-RU"/>
        </w:rPr>
        <w:t xml:space="preserve">б</w:t>
      </w:r>
      <w:r>
        <w:tab/>
      </w:r>
      <w:r>
        <w:rPr>
          <w:rFonts w:ascii="Times New Roman" w:hAnsi="Times New Roman" w:cs="Times New Roman" w:eastAsia="Times New Roman"/>
          <w:color w:val="000000"/>
          <w:sz w:val="28"/>
          <w:szCs w:val="28"/>
          <w:lang w:val="ru-RU"/>
        </w:rPr>
        <w:t xml:space="preserve">(3.3.2)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N</w:t>
      </w:r>
      <w:r>
        <w:rPr>
          <w:rFonts w:ascii="Times New Roman" w:hAnsi="Times New Roman" w:cs="Times New Roman" w:eastAsia="Times New Roman"/>
          <w:color w:val="000000"/>
          <w:sz w:val="28"/>
          <w:szCs w:val="28"/>
          <w:vertAlign w:val="subscript"/>
          <w:lang w:val="ru-RU"/>
        </w:rPr>
        <w:t xml:space="preserve">б</w:t>
      </w:r>
      <w:r>
        <w:rPr>
          <w:rFonts w:ascii="Times New Roman" w:hAnsi="Times New Roman" w:cs="Times New Roman" w:eastAsia="Times New Roman"/>
          <w:color w:val="000000"/>
          <w:sz w:val="28"/>
          <w:szCs w:val="28"/>
          <w:lang w:val="ru-RU"/>
        </w:rPr>
        <w:t xml:space="preserve">езуб — число подключённых объектов, при котором выручка покрывает бюджет, ед.;</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бюджет стратегии (или её фазы), млн руб. (таблица 3.2.6);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w:t>
      </w:r>
      <w:r>
        <w:rPr>
          <w:rFonts w:ascii="Times New Roman" w:hAnsi="Times New Roman" w:cs="Times New Roman" w:eastAsia="Times New Roman"/>
          <w:color w:val="000000"/>
          <w:sz w:val="28"/>
          <w:szCs w:val="28"/>
          <w:vertAlign w:val="subscript"/>
          <w:lang w:val="ru-RU"/>
        </w:rPr>
        <w:t xml:space="preserve">о</w:t>
      </w:r>
      <w:r>
        <w:rPr>
          <w:rFonts w:ascii="Times New Roman" w:hAnsi="Times New Roman" w:cs="Times New Roman" w:eastAsia="Times New Roman"/>
          <w:color w:val="000000"/>
          <w:sz w:val="28"/>
          <w:szCs w:val="28"/>
          <w:lang w:val="ru-RU"/>
        </w:rPr>
        <w:t xml:space="preserve">б — средняя выручка первого года с одного объекта, млн руб. (таблица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Показатель ROI отражает простое отношение результата к затратам, но не учитывает разную ценность денег в разные периоды трёхлетнего горизонта. Поскольку основная выручка стратегии приходится на фазы 2 и 3, а затраты — преимущественно на фазу 1, для корректной оценки эффективности расчёт дополняется дисконтированными показателями: чистым дисконтированным доходом (ЧДД, NPV), индексом прибыльности (PI), внутренней нормой доходности (ВНД, IRR) и дисконтированным сроком окупаемости (DPP). Расчёт ведётся по приростному денежному потоку: учитываются только доходы и расходы, возникающие в результате реализации стратегии. Денежный поток фазы определяется как разность валовой прибыли от приростной выручки и бюджета фазы; валовая прибыль принимается на консервативном уровне 60 % приростной выручки, что согласуется с маржинальностью модели подключения (себестоимость ЕБС — лишь около 2,5 % разовой платы за подключение объекта уровня 2) и одновременно покрывает не относимые к бюджету продвижения расходы на оказание услуги — оборудование, интеграцию и сопровождение.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Чистый дисконтированный доход рассчитывается по классической формуле оценки эффективности инвестиций (3.3.3):</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ЧДД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Б</w:t>
      </w:r>
      <w:r>
        <w:rPr>
          <w:rFonts w:ascii="Times New Roman" w:hAnsi="Times New Roman" w:cs="Times New Roman" w:eastAsia="Times New Roman"/>
          <w:i/>
          <w:iCs/>
          <w:color w:val="000000"/>
          <w:sz w:val="28"/>
          <w:szCs w:val="28"/>
          <w:vertAlign w:val="subscript"/>
          <w:lang w:val="ru-RU"/>
        </w:rPr>
        <w:t xml:space="preserve">0</w:t>
      </w:r>
      <w:r>
        <w:tab/>
      </w:r>
      <w:r>
        <w:rPr>
          <w:rFonts w:ascii="Times New Roman" w:hAnsi="Times New Roman" w:cs="Times New Roman" w:eastAsia="Times New Roman"/>
          <w:color w:val="000000"/>
          <w:sz w:val="28"/>
          <w:szCs w:val="28"/>
          <w:lang w:val="ru-RU"/>
        </w:rPr>
        <w:t xml:space="preserve">(3.3.3)</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ЧДД — чистый дисконтированный доход стратегии,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 денежный поток фазы t (валовая прибыль за вычетом бюджета фазы),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 (r = 0,16);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 (t = 0,5; 1,5; 3,0);</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w:t>
      </w:r>
      <w:r>
        <w:rPr>
          <w:rFonts w:ascii="Times New Roman" w:hAnsi="Times New Roman" w:cs="Times New Roman" w:eastAsia="Times New Roman"/>
          <w:color w:val="000000"/>
          <w:sz w:val="28"/>
          <w:szCs w:val="28"/>
          <w:vertAlign w:val="subscript"/>
          <w:lang w:val="ru-RU"/>
        </w:rPr>
        <w:t xml:space="preserve">0</w:t>
      </w:r>
      <w:r>
        <w:rPr>
          <w:rFonts w:ascii="Times New Roman" w:hAnsi="Times New Roman" w:cs="Times New Roman" w:eastAsia="Times New Roman"/>
          <w:color w:val="000000"/>
          <w:sz w:val="28"/>
          <w:szCs w:val="28"/>
          <w:lang w:val="ru-RU"/>
        </w:rPr>
        <w:t xml:space="preserve"> — приведённые к началу затраты фазы активации, учтённые в 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Ставка дисконтирования принята на уровне r = 16 % годовых и складывается из ключевой ставки Банка России (14,5 % на момент расчёта, упоминается в подразделе 1.1) и премии за риск инновационного маркетингового проекта в нише биометрии (1,5 процентного пункта за неопределённость отклика рынка на pull-инструменты, отсутствие публичных бенчмарков по конверсии в B2B-биометрии и сценарную нестабильность темпа масштабирования — те же три ограничения, что зафиксированы в начале подраздела). Индекс прибыльности и дисконтированный срок окупаемости рассчитываются по формулам (3.3.4) и (3.3.5):</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PI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(3.3.4)</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положительные денежные потоки фаз,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отрицательные денежные потоки фаз (затраты),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DPP = (k − 1) + |НДП</w:t>
      </w:r>
      <w:r>
        <w:rPr>
          <w:rFonts w:ascii="Times New Roman" w:hAnsi="Times New Roman" w:cs="Times New Roman" w:eastAsia="Times New Roman"/>
          <w:i/>
          <w:iCs/>
          <w:color w:val="000000"/>
          <w:sz w:val="28"/>
          <w:szCs w:val="28"/>
          <w:vertAlign w:val="subscript"/>
          <w:lang w:val="ru-RU"/>
        </w:rPr>
        <w:t xml:space="preserve">k−1</w:t>
      </w:r>
      <w:r>
        <w:rPr>
          <w:rFonts w:ascii="Times New Roman" w:hAnsi="Times New Roman" w:cs="Times New Roman" w:eastAsia="Times New Roman"/>
          <w:i/>
          <w:iCs/>
          <w:color w:val="000000"/>
          <w:sz w:val="28"/>
          <w:szCs w:val="28"/>
          <w:lang w:val="ru-RU"/>
        </w:rPr>
        <w:t xml:space="preserve">| / ДП</w:t>
      </w:r>
      <w:r>
        <w:rPr>
          <w:rFonts w:ascii="Times New Roman" w:hAnsi="Times New Roman" w:cs="Times New Roman" w:eastAsia="Times New Roman"/>
          <w:i/>
          <w:iCs/>
          <w:color w:val="000000"/>
          <w:sz w:val="28"/>
          <w:szCs w:val="28"/>
          <w:vertAlign w:val="subscript"/>
          <w:lang w:val="ru-RU"/>
        </w:rPr>
        <w:t xml:space="preserve">k</w:t>
      </w:r>
      <w:r>
        <w:tab/>
      </w:r>
      <w:r>
        <w:rPr>
          <w:rFonts w:ascii="Times New Roman" w:hAnsi="Times New Roman" w:cs="Times New Roman" w:eastAsia="Times New Roman"/>
          <w:color w:val="000000"/>
          <w:sz w:val="28"/>
          <w:szCs w:val="28"/>
          <w:lang w:val="ru-RU"/>
        </w:rPr>
        <w:t xml:space="preserve">(3.3.5)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DPP — дисконтированный срок окупаемости, лет;</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k — номер фазы, в которой накопленный дисконтированный поток впервые становится неотрицательным;</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НДП</w:t>
      </w:r>
      <w:r>
        <w:rPr>
          <w:rFonts w:ascii="Times New Roman" w:hAnsi="Times New Roman" w:cs="Times New Roman" w:eastAsia="Times New Roman"/>
          <w:color w:val="000000"/>
          <w:sz w:val="28"/>
          <w:szCs w:val="28"/>
          <w:vertAlign w:val="subscript"/>
          <w:lang w:val="ru-RU"/>
        </w:rPr>
        <w:t xml:space="preserve">k−1</w:t>
      </w:r>
      <w:r>
        <w:rPr>
          <w:rFonts w:ascii="Times New Roman" w:hAnsi="Times New Roman" w:cs="Times New Roman" w:eastAsia="Times New Roman"/>
          <w:color w:val="000000"/>
          <w:sz w:val="28"/>
          <w:szCs w:val="28"/>
          <w:lang w:val="ru-RU"/>
        </w:rPr>
        <w:t xml:space="preserve"> — накопленный дисконтированный денежный поток на конец фазы k − 1,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ДП</w:t>
      </w:r>
      <w:r>
        <w:rPr>
          <w:rFonts w:ascii="Times New Roman" w:hAnsi="Times New Roman" w:cs="Times New Roman" w:eastAsia="Times New Roman"/>
          <w:color w:val="000000"/>
          <w:sz w:val="28"/>
          <w:szCs w:val="28"/>
          <w:vertAlign w:val="subscript"/>
          <w:lang w:val="ru-RU"/>
        </w:rPr>
        <w:t xml:space="preserve">k</w:t>
      </w:r>
      <w:r>
        <w:rPr>
          <w:rFonts w:ascii="Times New Roman" w:hAnsi="Times New Roman" w:cs="Times New Roman" w:eastAsia="Times New Roman"/>
          <w:color w:val="000000"/>
          <w:sz w:val="28"/>
          <w:szCs w:val="28"/>
          <w:lang w:val="ru-RU"/>
        </w:rPr>
        <w:t xml:space="preserve"> — дисконтированный денежный поток фазы k,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Внутренняя норма доходности IRR определяется как ставка, при которой ЧДД обращается в нуль (ЧДД(IRR) = 0); находится численно. Проект экономически целесообразен при ЧДД &gt; 0, PI &gt; 1, IRR &gt; r и DPP в пределах горизонта планирования. Результаты расчёта приростных денежных потоков и дисконтированных показателей по трём сценариям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Приростные денежные потоки и дисконтированные показатели эффективности стратегии продвижения Face2 (горизонт 36 мес., r = 16 %),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5"/>
        <w:gridCol w:w="1272"/>
        <w:gridCol w:w="1454"/>
        <w:gridCol w:w="1454"/>
        <w:gridCol w:w="2000"/>
      </w:tblGrid>
      <w:tr>
        <w:trPr>
          <w:tblHeader/>
          <w:cantSplit/>
        </w:trPr>
        <w:tc>
          <w:tcPr>
            <w:tcW w:w="34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18)</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36)</w:t>
            </w:r>
          </w:p>
        </w:tc>
        <w:tc>
          <w:tcPr>
            <w:tcW w:w="2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 / показатель</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 фазы (таблица 3.2.6)</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Коэффициент дисконтирования (r = 16 %)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0,929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0,800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0,641</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Пессимистический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6,50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3,90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6,60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−6,92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−21,12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Реалистический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61,20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−4,75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+46,25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+29,63</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+32,02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Накопленный 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+32,02</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PI = 2,24; IRR ≈ 237 %</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Оптимистический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375,00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334,80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+79,30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+210,05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+10,63</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+63,47</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+134,58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+208,68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и 3.3.2 по формулам (3.3.3)–(3.3.5); валовая прибыль принята на уровне 60 % приростной выручки (консервативное допущение).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Дисконтированная оценка подтверждает и уточняет вывод, полученный по ROI. В реалистическом сценарии чистый дисконтированный доход положителен (ЧДД = +32,02 млн руб.), индекс прибыльности PI = 2,24 &gt; 1 (каждый рубль приведённых затрат генерирует 2,24 рубля приведённых поступлений), внутренняя норма доходности IRR ≈ 237 % многократно превышает ставку дисконтирования 16 %, а дисконтированный срок окупаемости DPP составляет около 1,2 года (примерно четырнадцатый месяц, внутри фазы 2) — то есть с учётом дисконтирования окупаемость наступает на несколько месяцев позже, чем по простому ROI (≈ седьмой месяц), но по-прежнему уверенно в пределах горизонта. В оптимистическом сценарии эффект кратно выше (ЧДД = +208,68 млн руб., PI = 9,06, окупаемость внутри фазы активации). В пессимистическом сценарии проект на горизонте 36 месяцев положительного ЧДД не достигает (ЧДД = −21,12 млн руб., PI = 0,18), что согласуется с отрицательным ROI и маркирует точку, требующую пересборки стратегии по итогам контрольных точек. Проверка устойчивости показывает, что ЧДД реалистического сценария остаётся положительным во всём диапазоне ставок дисконтирования от 10 до 30 % (от +37,6 до +22,6 млн руб.), то есть вывод об экономической целесообразности не чувствителен к возможному ужесточению денежно-кредитной политики Банка России. Дисконтированные показатели, таким образом, не заменяют, а усиливают оценку по ROI: стратегия создаёт положительную приведённую стоимость для группы банка в реалистическом и оптимистическом сценариях.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3.3.6.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3.3.5) содержит управляемые риски, прямо адресуемые мероприятиями параграфа 3.2, а остаточный слой (таблица 3.3.6)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приложении 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приведённый в приложении Б,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3.3.8: она собирает в одном месте ключевые KPI всех четырёх типов (охват, вовлечение, конверсия, коммерческий результат) с конкретными целевыми ориентирами по фазам в реалистическом сценарии (Р) и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целевых значений ключевых показателей и эффектов стратегии продвижения Face2 (реалистический сценарий)</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2"/>
        <w:gridCol w:w="2727"/>
        <w:gridCol w:w="1091"/>
        <w:gridCol w:w="909"/>
        <w:gridCol w:w="1000"/>
        <w:gridCol w:w="1182"/>
        <w:gridCol w:w="1454"/>
      </w:tblGrid>
      <w:tr>
        <w:trPr>
          <w:tblHeader/>
          <w:cantSplit/>
        </w:trPr>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0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2025</w:t>
            </w:r>
          </w:p>
        </w:tc>
        <w:tc>
          <w:tcPr>
            <w:tcW w:w="9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1 (мес. 6)</w:t>
            </w:r>
          </w:p>
        </w:tc>
        <w:tc>
          <w:tcPr>
            <w:tcW w:w="1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2 (мес. 18)</w:t>
            </w:r>
          </w:p>
        </w:tc>
        <w:tc>
          <w:tcPr>
            <w:tcW w:w="118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3 (мес. 36)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поданы</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1,5x</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достигнут</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мес. 7)</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числовые значения — нормативно-ориентировочные расчётные допущения автора,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 переводит ранее описанную качественно систему показателей в измеримую форму: по каждой из четырёх групп KPI заданы конкретные целевые ориентиры на конец каждой фазы, а три качественных эффекта получили фиксированный целевой статус. Тем самым продвижение Face2 становится управляемым по контрольным точкам календаря (приложение Б): на КТ2, КТ5 и КТ6 фактические значения сопоставляются с ориентирами таблицы 3.3.8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целевые значения по фазам и три качественных эффекта собраны в итоговой таблице 3.3.8.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и дополняет их дисконтированными показателями (таблица 3.3.4): в реалистическом сценарии ЧДД = +32,0 млн руб., PI = 2,24, IRR ≈ 237 % при ставке 16 %, дисконтированный срок окупаемости около 1,2 года, а также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ПРИЛОЖЕНИЯ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ПРИЛОЖЕНИЕ 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А.1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ПРИЛОЖЕНИЕ 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Б.1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параграфа 3.3.</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image" Target="media/image3.png"/>
  <Relationship Id="rId8" Type="http://schemas.openxmlformats.org/officeDocument/2006/relationships/image" Target="media/image4.png"/>
  <Relationship Id="rId9" Type="http://schemas.openxmlformats.org/officeDocument/2006/relationships/image" Target="media/image5.png"/>
  <Relationship Id="rId10" Type="http://schemas.openxmlformats.org/officeDocument/2006/relationships/image" Target="media/image6.png"/>
  <Relationship Id="rId11" Type="http://schemas.openxmlformats.org/officeDocument/2006/relationships/image" Target="media/image7.png"/>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