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и пять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b/>
          <w:bCs/>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b/>
          <w:bCs/>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b/>
          <w:bCs/>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b/>
          <w:bCs/>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3.1.1. Проблемы продвижения, выявленные по результатам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3.1.2. Цель и задачи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3.1.3. Приоритетные целевые сегменты в разрезе двухуровневой модели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3.1.4. Позиционирование Face2 на рынке биометрических решений и формулировка ценностного предложения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3.1.5. Обоснование выбранного типа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3.2.1. Стратегические направления продвижения по сегментам и уровням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3.2.2. Отраслевые офферы для целевых сегментов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3.2.3. Каналы продвижения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3.2.4. Контентная и PR-стратегия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3.2.5. Этапы реализации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3.2.6. Бюджет мероприятий и ресурсное обеспечение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[18, с. 5; 8, с. 412; 10, с. 156].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3.3.1. Методика оценки эффективности стратегии и система ключевых показателей результативности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3.3.2. Оценка экономического эффекта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3.3.3. Матрица рисков реализации стратегии и способы их снижения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3.3.4. Организационный план внедрения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