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ВВЕДЕНИЕ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Актуальность темы выпускной квалификационной работы обусловлена переходом российского рынка биометрических технологий в стадию массовой коммерциализации при одновременном ужесточении регуляторного контура обработки биометрических персональных данных. По данным Банка России, за девять месяцев 2025 года в Российской Федерации совершено 145,9 млн биометрических платежей с оборотом 112,5 млрд рублей, а число зарегистрированных в Единой биометрической системе пользователей превысило десять миллионов. Федеральный закон от 29 декабря 2022 года № 572-ФЗ ограничил круг участников рынка аккредитованными операторами коммерческих биометрических систем, а федеральные законы № 420-ФЗ и № 421-ФЗ от 30 ноября 2024 года повысили ответственность за нарушения в сфере биометрии. В этих условиях для ПАО «Ак Барс Банк», получившего статус оператора КБС в 2023 году, разработка стратегии продвижения биометрического продукта Face2 становится самостоятельной управленческой задачей, решение которой определяет возможности масштабирования продукта на федеральный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Степень разработанности проблемы характеризуется неравномерностью научного освоения смежных областей. Теоретические основы маркетинга инноваций и стратегического управления продвижением новых продуктов раскрыты в работах Ф. Котлера, Й. Шумпетера, Э. Роджерса, Г. Л. Багиева, Р. А. Фатхутдинова, П. Н. Завлина, А. А. Трифиловой. Вопросы банковского маркетинга и цифровой трансформации финансовых организаций представлены в современных публикациях по финансовому сектору. Вместе с тем продвижение биометрических технологий рассматривается преимущественно в правовом и техническом аспектах, тогда как комплексные маркетинговые модели, учитывающие двухуровневую структуру продаж, привязку к государственной инфраструктуре ЕБС и необходимость преодоления психологических барьеров аудитории, остаются недостаточно проработанными.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Целью выпускной квалификационной работы является исследование теоретических подходов к маркетингу инноваций и разработка стратегии продвижения инновационного биометрического продукта Face2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достижения поставленной цели сформулированы следующие задачи: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раскрыть сущность инновационных продуктов и систематизировать маркетинговые стратегии их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выявить специфику продвижения биометрических технологий в банковском секторе;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дать организационно-экономическую характеристику ПАО «Ак Барс Банк»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проанализировать российский рынок биометрии, конкурентную среду и определить позицию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оценить текущее состояние продвижения продукта и выявить пробелы;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разработать комплекс мероприятий стратегии продвижения Face2 и обосновать её эффективность.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Объектом исследования выступает ПАО «Ак Барс Банк» как разработчик и оператор коммерческой биометрической системы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Предметом исследования являются управленческие и маркетинговые отношения, возникающие в процессе формирования и реализации стратегии продвижения биометрического продукта на российском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Методологическую основу исследования составил системный подход, дополненный общенаучными методами анализа, синтеза и сравнения, а также методами стратегического и маркетингового анализа: PESTEL-анализом, SWOT-анализом, моделью пяти сил М. Портера, концепцией STP, моделью 7P, сравнительной балльной экспертной оценкой, графическим и табличным методами представления данных. Информационной базой исследования послужили годовая отчётность ПАО «Ак Барс Банк» за 2023–2025 годы, статистические материалы Банка России, нормативно-правовые акты Российской Федерации, публикации Минцифры России и АО «Центр биометрических технологий», а также специализированные научные и отраслевые источники.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заключается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состоит в возможности применения разработанной стратегии и комплекса мероприятий в деятельности ПАО «Ак Барс Банк» для масштабирования продукта Face2 за пределы Республики Татарстан, активизации банковской экосистемы как канала продвижения и достройки конверсионной инфраструктуры; предложенные решения применимы и другими аккредитованными операторами коммерческих биометрических систем.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[12,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[8, с. 48]. Российская школа продолжает эту линию, увязывая инновационную активность с конкурентоспособностью предприятия и национальной экономики [13, с. 14; 14,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[12,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[22, с. 51; 20, с. 9]. Эти признаки обобщены на рисунке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[12, с. 165–169; 14,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2891"/>
        <w:gridCol w:w="4819"/>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w:t>
            </w:r>
          </w:p>
        </w:tc>
        <w:tc>
          <w:tcPr>
            <w:tcW w:w="28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Новый или существенно улучшенный товар/услуга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способы производства и обслуживания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методы продвижения и позиционирования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процессов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Принципиально новый продукт или способ потребления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решений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165–169; 14,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[15, с. 29; 24,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[12, с. 178; 19,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[22,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0"/>
        <w:gridCol w:w="4015"/>
        <w:gridCol w:w="3881"/>
      </w:tblGrid>
      <w:tr>
        <w:trPr>
          <w:tblHeader/>
          <w:cantSplit/>
        </w:trPr>
        <w:tc>
          <w:tcPr>
            <w:tcW w:w="17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рисков</w:t>
            </w:r>
          </w:p>
        </w:tc>
        <w:tc>
          <w:tcPr>
            <w:tcW w:w="40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Управленческий ответ</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незрелость технологии, проблемы интеграции</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тестирование, поэтапное масштабирование</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недоверие, отсутствие спроса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 ранние последователи</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длительная окупаемость, риск возврата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 гибкая цена</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предубеждения</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качества, мониторинг отзывов, реакция на инциденты</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нормативной базы, требования к данным, лицензирование</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аудит соответствия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178; 13, с. 78; 19,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[13,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[14,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[18, с. 6; 19,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[12, с. 201; 14,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[12,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[6,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[16, с. 38; 23, с. 91; 24,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[15,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[23,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[23,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[16, с. 41; 25,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[16, с. 47; 24, с. 108; 25,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[18, с. 4; 19,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[22,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[14,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19, с. 5]. В учебных материалах по экономике инноваций отмечается, что при продвижении инноваций компании могут сталкиваться с рядом проблем [12,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[5, с. 67; 10,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[5,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[18, с. 5; 10,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6"/>
        <w:gridCol w:w="6251"/>
      </w:tblGrid>
      <w:tr>
        <w:trPr>
          <w:tblHeader/>
          <w:cantSplit/>
        </w:trPr>
        <w:tc>
          <w:tcPr>
            <w:tcW w:w="33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w:t>
            </w:r>
          </w:p>
        </w:tc>
        <w:tc>
          <w:tcPr>
            <w:tcW w:w="6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Ёмкость, тренды, конкуренты, потребности клиентов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Целевая аудитория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Сегменты с наибольшей ценностью продукта</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Какую проблему решает и чем отличается</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продвижения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Эффективные коммуникационные каналы</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сообщений и креативов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[8,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[8, с. 567; 10,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[18, с. 7; 19,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77"/>
        <w:gridCol w:w="2855"/>
        <w:gridCol w:w="4105"/>
      </w:tblGrid>
      <w:tr>
        <w:trPr>
          <w:tblHeader/>
          <w:cantSplit/>
        </w:trPr>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1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Проталкивания (push)</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посредников и партнёров</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Использует существующие каналы распространения</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Вытягивания (pull)</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Прямое воздействие на потребителя</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 интерес</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инноваций</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Совместные проекты</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повышает доверие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7; 8, с. 567; 10, с. 198;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[16, с. 48; 24,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B2C, B2B и внутренние корпоративные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[6, с. 87; 8,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[8, с. 314; 10,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[5,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[8,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[10,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[8,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[17, с. 42; 10,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[16, с. 49; 24,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[8, с. 354; 10,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[6,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85"/>
        <w:gridCol w:w="2933"/>
        <w:gridCol w:w="4819"/>
      </w:tblGrid>
      <w:tr>
        <w:trPr>
          <w:tblHeader/>
          <w:cantSplit/>
        </w:trPr>
        <w:tc>
          <w:tcPr>
            <w:tcW w:w="18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и ценность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Решает проблему и отличается от аналогов</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попробовать</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и доступность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для целевой аудитории</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коммуникации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интерес, доверие</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Качество объяснения и сопровождения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Удобство и скорость взаимодействия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Снижает недоверие — отзывы, кейсы, сертификаты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354; 10,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[16, с. 50; 24,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[8, с. 472; 9,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[18,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[8,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[6, с. 64; 7,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19,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50"/>
        <w:gridCol w:w="3343"/>
        <w:gridCol w:w="3343"/>
      </w:tblGrid>
      <w:tr>
        <w:trPr>
          <w:tblHeader/>
          <w:cantSplit/>
        </w:trPr>
        <w:tc>
          <w:tcPr>
            <w:tcW w:w="29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Задача</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продукте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соцсети</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сертификации, FAQ</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демо-доступ, обучение</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UX</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рекомендации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64; 7,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[6, с. 78; 7,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[6, с. 102; 7,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[6, с. 134; 7,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2855"/>
        <w:gridCol w:w="3748"/>
      </w:tblGrid>
      <w:tr>
        <w:trPr>
          <w:tblHeader/>
          <w:cantSplit/>
        </w:trPr>
        <w:tc>
          <w:tcPr>
            <w:tcW w:w="30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37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Особенности для иннопродукта</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Базовая информация о продукте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 преимущества, FAQ</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и экспертный имидж</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Объясняет значимость инновации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язык, работа с возражениями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в действии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Снижают недоверие к новой технологии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аудитории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Статьи, инструкции, видеообзоры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на ограниченном масштабе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Обратная связь, подтверждение пользы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через другие организации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сложных B2B-решений</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Профессиональная аудитория</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компании, потенциальные партнёры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102–135; 7,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[14, с. 161; 17,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19,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[18,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[8, с. 392; 10,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[8,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[24,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[18, с. 9; 19,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[16,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[18,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[5, с. 198; 8,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[5,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[6, с. 156; 8,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[7,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04"/>
        <w:gridCol w:w="5833"/>
      </w:tblGrid>
      <w:tr>
        <w:trPr>
          <w:tblHeader/>
          <w:cantSplit/>
        </w:trPr>
        <w:tc>
          <w:tcPr>
            <w:tcW w:w="38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продвижения</w:t>
            </w:r>
          </w:p>
        </w:tc>
        <w:tc>
          <w:tcPr>
            <w:tcW w:w="58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Показатели эффективности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посещаемость сайта, упоминания в СМИ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просмотры презентаций,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Положительные отзывы, снижение отказов, опросы</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подключения пилотов</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Экономика</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CAC, ROI, LTV, срок окупаемости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CSI,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[5, с. 198–202; 6, с. 156; 8,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[16, с. 53; 24,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[18, с. 10; 20, с. 13; 19,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технологии в банковском секторе требуют не нового набора инструментов продвижения по сравнению с § 1.2, а особой их конфигурации: смещения акцентов в воронке, перераспределения веса между элементами 7P и изменения логики каналов. Настоящий параграф фиксирует особенности биометрии, барьеры её принятия и условия, при которых стандартные маркетинговые инструменты переходят в специфические для банковской биометрии формы.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[15, с. 29; 24, с. 100]. В банковской сфере она решает безопасную идентификацию клиентов при дистанционном обслуживании, противодействие мошенничеству и упрощение доступа к продуктам [16, с. 38; 24, с. 104; 25, с. 115].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[23,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[23, с. 95; 27]. Сферы применения биометрии в банке и за его пределами показаны на рисунке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[16, с. 43; 25,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1"/>
        <w:gridCol w:w="2522"/>
        <w:gridCol w:w="2161"/>
        <w:gridCol w:w="2702"/>
      </w:tblGrid>
      <w:tr>
        <w:trPr>
          <w:tblHeader/>
          <w:cantSplit/>
        </w:trPr>
        <w:tc>
          <w:tcPr>
            <w:tcW w:w="2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барьеров</w:t>
            </w:r>
          </w:p>
        </w:tc>
        <w:tc>
          <w:tcPr>
            <w:tcW w:w="25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барьера</w:t>
            </w:r>
          </w:p>
        </w:tc>
        <w:tc>
          <w:tcPr>
            <w:tcW w:w="21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 (из 1.2)</w:t>
            </w:r>
          </w:p>
        </w:tc>
        <w:tc>
          <w:tcPr>
            <w:tcW w:w="27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 для биометрии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ощущение «не отозвать» сданный образец</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архитектура ЕБС, политика обработки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миф о «слежке»</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People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эксперты банка</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документам</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Демо-стратегия; ранние последователи</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пилоты на сотрудниках, геймификация регистрации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окупаемость, сложность интеграции с СКУД и ИТ</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ROI/LTV; партнёры; пилоты</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минимальные пилоты, интеграторы</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Штрафы, уголовная ответственность, инциденты</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Статус оператора КБС, ESG-отчётность,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41–47; 24, с. 106–110; 25, с. 113–119; 8, с. 354; 19,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обеспечивает</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(КБС); ФСБ, ФСТЭК; согласие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вывести продукт и легально использовать «безопасный/законный» в коммуникации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готовность к инновациям, отсутствие острых негативных кейсов</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к маркетингу; реалистичные сроки принятия</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(FAR/FRR), надёжность, скорость, простота интеграции</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обещаниям маркетинга; работа со статистикой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ROI для B2B, обоснованная цена, измеримый эффект</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в B2B/B2G через ROI, а не только эмоции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45; 23, с. 93; 24,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Интегрированная стратегия (push + pull) в банковской биометрии распадается по сегментам.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[16, с. 48; 24,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[5, с. 124; 8,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расширенном комплексе 7P для биометрии непропорционально вырастают три элемента — People, Process и Physical evidence.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[16, с. 50; 24,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для биометрии вытягивается на этапе «Доверие».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[6, с. 64; 20, с. 11; 19,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смещаются в сторону экспертных и демонстрационных форматов.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[6, с. 102–135; 14,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Программы стимулирования и партнёрства образуют экосистемный слой продвижения.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[18, с. 8; 6, с. 124; 19,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[16, с. 51;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в дальнейшем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 Цифровые банковские инновации образуют подкласс с повышенными требованиями к защите данных и доверию пользователей; биометрические системы — крайний случай этого подкласса, сочетающий высокую технологическую сложность, работу с особо чувствительными персональными данными, жёсткий нормативно-правовой контур (№ 572-ФЗ, аккредитация Минцифры, сертификация ФСБ и ФСТЭК) и значительные психологические барьеры. Поэтому их продвижение не сводится к стандартному маркетингу и требует особой стратегии с образовательной составляющей, систематической работой с возражениями и демонстрацией мер защиты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расширенный комплекс 7P с особым весом People, Process и Physical evidence, маркетинговую воронку с обязательным этапом «Доверие» и теорию диффузии инноваций Э. Роджерса. Эти универсальные инструменты перенастраиваются под пять групп барьеров принятия биометрии и опираются на четыре условия её успешного продвижения — правовое, социально-психологическое, технологическое и экономическое. Сформулированная теоретическая рамка задаёт аналитический контур главы 2 (характеристика банка и продукта, анализ рынка и текущего продвижения) и главы 3 (разработка стратегии).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и входит в систему страхования вкладов [30, с. 6–7]. Основной регион присутствия — Республика Татарстан: на конец 2024 года доля местных поставщиков в бюджете закупок составила не менее 60% [26,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17"/>
        <w:gridCol w:w="1661"/>
        <w:gridCol w:w="1329"/>
        <w:gridCol w:w="1329"/>
      </w:tblGrid>
      <w:tr>
        <w:trPr>
          <w:tblHeader/>
          <w:cantSplit/>
        </w:trPr>
        <w:tc>
          <w:tcPr>
            <w:tcW w:w="53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[31, с. 1–3; 30,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 источнике [31] показатель совокупных активов на конец 2023 года не раскрывается.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Дивиденды по итогам отчётных периодов не выплачиваются, а основной финансовый результат концентрируется в корпоративном и инвестиционном сегментах [31, с. 66, 68; 30,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[26,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[26,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[26,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[26, с. 30–31]. Кредитные и ESG-рейтинги банка — уровня «A»/«BBB» по национальной шкале всех трёх профильных агентств (АКРА, «Эксперт РА», НКР) и Банка России [26,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[28; 29].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29].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3"/>
        <w:gridCol w:w="2141"/>
        <w:gridCol w:w="1998"/>
        <w:gridCol w:w="2141"/>
        <w:gridCol w:w="2141"/>
      </w:tblGrid>
      <w:tr>
        <w:trPr>
          <w:tblHeader/>
          <w:cantSplit/>
        </w:trPr>
        <w:tc>
          <w:tcPr>
            <w:tcW w:w="12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Решаемая задача</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сегменты</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модель</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КБС под ключ оператору биометрии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liveness, SDK) + интеграции ЕСИА, ЕБС, СМЭВ, КриптоПро DSS</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программного контура аккредитованной организации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Банки/МФО (оператор № 115-ФЗ); госструктуры федер./регион. уровня; крупные корпорации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Крупная сделка длительного цикла: лицензия + развёртывание + SLA. Десятки–сотни млн руб. за сделку</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без своей биоинфраструктуры</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десятки–сотни тыс. руб./мес. с объекта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 без аккредитации заказчика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мероприятия, логистика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терминалы + абонементная плата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ЕБС</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спортобъекты, гостиницы, продажа алкоголя/рецептур</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разд. «Требования к окружению», «Системные требования», «Варианты развертывания»; 29,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Помимо упомянутого выше биоэквайринга в Казанском метрополитене, реализован проект «Электронный читательский билет», позволяющий посещать Национальную библиотеку Республики Татарстан по биометрии — причём сдать её можно прямо в мобильном приложении «Карта жителя Республики Татарстан» [26,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[30,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На следующем шаге необходимо проанализировать конкурентное окружение, в котором Face2 выходит на рынок, и определить ограничения, сдерживающие спрос на коммерческую биометрию.</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Настоящий параграф достраивает картину со стороны внешнего контекста: фиксирует масштаб и сегментную структуру российского рынка биометрии, его регуляторно-инфраструктурный контур, выводит сводный PESTEL-анализ макросреды и переходит к анализу пяти сил М. Портера и сравнительной оценке Face2 относительно ключевых конкурентов. Финальная часть формулирует конкурентную позицию Face2, на которую опирается план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[36] через перевод ЕБС в статус государственной информационной системы в конце 2021 года под управлением АО «Центр биометрических технологий» [32; 37]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[1].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[32]. К началу 2026 года в Единой биометрической системе зарегистрировались более 10 млн пользователей [32].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[34].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[36;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[38]. Этот масштаб задаёт верхнюю планку рынка и ориентир для всех остальных игроков.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[36; 32]. Каждый сегмент закреплён за своим типом заказчика и имеет собственный драйвер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98"/>
        <w:gridCol w:w="2233"/>
        <w:gridCol w:w="2350"/>
        <w:gridCol w:w="3055"/>
      </w:tblGrid>
      <w:tr>
        <w:trPr>
          <w:tblHeader/>
          <w:cantSplit/>
        </w:trPr>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2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Сценарий</w:t>
            </w:r>
          </w:p>
        </w:tc>
        <w:tc>
          <w:tcPr>
            <w:tcW w:w="23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Заказчик</w:t>
            </w:r>
          </w:p>
        </w:tc>
        <w:tc>
          <w:tcPr>
            <w:tcW w:w="30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Драйвер спроса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через ЕСИА/ЕБС</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госуслуг, ЕСИА как точка доступа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удалённый счёт, антифрод</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антифрод, экономия на комиссии</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и оплата проезда; бизнес-залы</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сотрудников, учёт времени</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точный учёт, исключение передачи карт</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биолояльность</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разгрузка кассира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30–31; 36;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драйверов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[1].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подключённых организаций; регистрация для гражданина добровольна и бесплатна, что одновременно расширяет потенциальный круг пользователей и ограничивает массовые инструменты стимулирования сдачи биометрии [36].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повышающую капиталоёмкость входа для нового игрока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количественно ограничен: по данным Банка России на 4 мая 2026 года, в перечень банков, имеющих право проводить идентификацию клиента в ЕБС по п. 5.7 ст. 7 № 115-ФЗ, входят 194 кредитные организации; ПАО «АК БАРС» БАНК числится в нём под номером 101 [35]. В сочетании с аккредитацией Минцифры (Решение № 4-А от 15 ноября 2023 года), сертификациями ФСБ и ФСТЭК и присутствием в реестре отечественного ПО это образует регуляторный фундамент, на который опирается весь дальнейший анализ конкурентной среды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PESTEL не дублирует регуляторный подраздел: правовое поле в нём представлено сжато и сопоставлено с пятью другими измерениями макросреды, что позволяет оценить относительный вес регуляторных факторов рядом с экономическими, технологическими и социальными — детальный разбор нормативной базы при этом сохраняется в подразделе «Регуляторный и инфраструктурный контур рынка».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3855"/>
        <w:gridCol w:w="3855"/>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 — политические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ЕБС — ГИС под АО «ЦБТ»; Минцифры — регулятор аккредитации КБС; реестр отечественного ПО — условие госзакупок; вытеснение иностранных вендоров после 2022 [27; 1; 36;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Аккредитация Минцифры (Решение № 4-А от 15.11.2023) и реестр ПО открывают B2G [27]</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экономические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за 9 мес. 2025 (145,9 млн транзакций, 112,5 млрд руб.); средний чек ≈ 770 руб. — массовая розница; пониженная эквайринговая комиссия; финсектор — 15% мирового рынка биометрии при CAGR 18,6% [33; 32;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 Биоэквайринг выгоден рознице по комиссии; B2B/B2G ориентируются на статус, не на цену</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социальные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привычка платить лицом в метро Москвы и Казани; барьеры доверия — страх утечки, нельзя «отозвать»; поколенческая поляризация [16; 25; 32;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привычка к оплате лицом → Face2Pay. «−» барьеры доверия → большая доля бюджета на образовательный контент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технологические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99,5%, сканирование ≈ 2 с; антиспуфинг и детекция дипфейков; объединение биометрии с QR/СБП; обработка векторов в реальном времени [27; 38; 40;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зрелости. Зона риска: публично нет независимой верификации (NIST FRTE) и решения по дипфейкам</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безбумажная идентификация; энергоёмкость дата-центров; ESG-повестка [26; 32]</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 ESG АББ снимает барьер B2G; самостоятельного маркетингового плеча нет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 — правовые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спецкатегория ПДн в ГИС ЕБС; 420-ФЗ и 421-ФЗ от 30.11.2024 — штрафы до 1–3% дохода, срок до 5 лет; согласие на каждое использование; 194 банка-оператора по № 115-ФЗ; аккредитация Минцифры, ФСБ, ФСТЭК [27; 1; 36; 35]</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защитный «ров»: КБС + 115-ФЗ + сертификации. «−» исключены B2C-стимулы (кешбэк/промокоды) → только экспертный контент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 25, с. 112; 27; 26, с. 17, 33; 38; 1; 36; 33, с. 3, 6; 35; 40; 32;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даёт макрорамку для последующего конкурентного анализа. Три фактора (P, T, L) работают преимущественно в плюс: государственный курс на технологический суверенитет вместе с жёсткой регуляторной рамкой создаёт защищённый рынок аккредитованных операторов, в который Face2 уже встроен, а зрелость алгоритмов обеспечивает технологическую состоятельность продукта. Экономический и социальный факторы (E, S) двойственны: динамика рынка положительна, но ценовое преимущество биоэквайринга вторично для целевого B2B/B2G-сегмента, а массовая привычка к оплате лицом сосуществует с устойчивым психологическим барьером недоверия. Правовой фактор одновременно открывает рынок для аккредитованных игроков и закрывает каналы массового стимулирования (запрет акций по сдаче биометрии, обязательное согласие на каждое использование), переводя продвижение в формат экспертного контента, пилотных проектов и B2B-референсов; экологический фактор работает фоном через ESG-статус банка. Регуляторно-политический фактор работает фильтром входа и оставляет в качестве реальных конкурентов Face2 ограниченный круг аккредитованных операторов и банков-операторов биометрии — состав этого круга и силы, действующие внутри него, разбираются ниже через рамку пяти сил М. Портера.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биометрии организован в три различающихся по типу деятельности слоя. Первый — банки-разработчики собственных биометрических сервисов: ПАО Сбербанк с сервисом «Оплата улыбкой» (СберPay Smile) и ПАО «АК БАРС» БАНК с линейкой Face2; для них биометрия одновременно работает внутренним средством обслуживания и самостоятельным коммерческим продуктом. Второй — технологические вендоры алгоритмов и платформ: VisionLabs (с декабря 2021 года в структуре ПАО МТС) и NtechLab с системой FindFace [40; 32]. Третий — производители полного цикла СКУД, объединяющие в одном предложении ПО, собственное оборудование и сервис: OVISION (Ханты-Мансийск) и BioSmart (Прософт-Биометрикс) [41].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[36; 32]. Каждый слой отвечает на свой тип спроса и предъявляет свой набор аккредитаций, поэтому Face2 не пересекается с лидерами других слоёв напрямую: со Сбером — по объёму массового B2C-биоэквайринга, с VisionLabs — по горизонтальным алгоритмическим платформам, с OVISION — по аппаратному стеку.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оценить, насколько привлекателен этот рынок для Face2 и какие силы определяют интенсивность конкуренции внутри него, многослойная карта дополняется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[11, с. 39]. Сводная оценка приведена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1499"/>
        <w:gridCol w:w="3212"/>
        <w:gridCol w:w="3212"/>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Сила</w:t>
            </w:r>
          </w:p>
        </w:tc>
        <w:tc>
          <w:tcPr>
            <w:tcW w:w="14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КБС, оператор № 115-ФЗ; ФСБ, ФСТЭК, реестр ПО; Указание ЦБ № 6541-У; МР № 18-МР, № 19-МР [27; 1; 35; 2; 3; 4]; ужесточение по 420/421-ФЗ от 30.11.2024; высокая капиталоёмкость алгоритмов</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набор статусов (№ 4-А от 15.11.2023, № 101 в перечне 115-ФЗ, ФСБ, ФСТЭК) недоступен новичкам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Сила поставщиков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ЕБС; тарифы и регламент по 572-ФЗ [36; 37; 1]</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свои алгоритмы (99,5%) снимают зависимость от VisionLabs/NtechLab; зависимость от партнёра по терминалам и от ЦБТ сохраняется [27; 41; 37]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Сила покупателей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 крупные концентрированные заказчики; низкие издержки переключения в технологическом слое; высокие — в нише «банк + ЕБС»</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 конкуренция с VisionLabs и OVISION; в нише «банк + ЕБС» — узкий круг банков-операторов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заменителей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NFC, QR, push, SMS-OTP, голосовая биометрия; II кв. 2025: QR ≈ 990 млн vs биометрия ≈ 60 млн (×16); рост биометрии быстрее (+50% vs +25%) [34]; в СКУД — карточки и мобильные ключи</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(счёт, возраст, транспорт) субституты ограничены законом; в эквайринге QR доминирует, но не вытесняет биометрию [32; 34]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700+ тыс. терминалов, 30 млн зарегистрированных, 116 млрд руб. за 2025; VisionLabs: 1,7 млн камер, 38 стран; OVISION: OGATE + референсы РЖД, Мосэнергосбыт; +9× платежей и +5× оборота смягчает ценовую конкуренцию [38; 40; 41; 32]</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конкуренции мало: нет пересечений со Сбером по объёму, с VisionLabs по верификации, с OVISION по аппарату. Конкуренция на узком стыке — B2B/B2G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39; 27; 26, с. 17, 30–31, 33; 38; 1; 36; 35; 40; 32; 41;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таблицы 2.2.4 складывается единая структурная картина. Угроза новых участников и рыночная сила поставщиков (в части алгоритмов) оказывают на Face2 ослабленное давление: жёсткая регуляторная рамка отсекает несертифицированных игроков, а собственная алгоритмическая база банка снимает зависимость от внешних вендоров [27; 1; 35]. Сила покупателей и угроза заменителей расщепляются по сегментам — высоки в технологическом слое и снижаются в нише «банк + ЕБС» из-за недоступности эквивалентов у вендоров [32; 34]. Внутриотраслевая конкуренция остаётся средне-высокой, но смягчается многослойностью рынка и кратным ростом спроса, позволяющим нескольким игрокам одновременно расширять долю без прямого вытеснения [38; 40; 32; 41].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 стратегия продвижения Face2 рационально опирается на регуляторный капитал и банковскую экосистему, а две силы определяют задачи главы 3: необходимость партнёрского или собственного аппаратного стека и бесперспективность конкуренции с QR-эквайрингом по числу операций.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83"/>
        <w:gridCol w:w="1438"/>
        <w:gridCol w:w="4315"/>
      </w:tblGrid>
      <w:tr>
        <w:trPr>
          <w:tblHeader/>
          <w:cantSplit/>
        </w:trPr>
        <w:tc>
          <w:tcPr>
            <w:tcW w:w="388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143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Игрок</w:t>
            </w:r>
          </w:p>
        </w:tc>
        <w:tc>
          <w:tcPr>
            <w:tcW w:w="43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4-А от 15.11.2023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[35]</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СКЗИ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NIST FRTE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2 с к 2025) [38]</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Face2Pay/Pass/Check-in + КБС — по банковским сценариям</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 преимущественно эквайринг</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 по форм-факторам</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 пилоты (Минцифры, Минтранс, НСПК)</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[38]</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Отдельное решение публично не зафиксировано</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Liveness + AI-фрод + ПИН [38]</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 Deepfake Detection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 дипфейки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АБО [26]</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ВК ИТС, Macroscop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2.2.5 фиксирует четыре чётко различимые позиции на рынке. Сбер закрывает массовый B2C-биоэквайринг масштабом и инфраструктурой; VisionLabs закрывает технологический слой и сильнее всех по независимой верификации точности через NIST FRTE и iBeta; OVISION закрывает рынок полного цикла СКУД (собственное оборудование плюс программное ядро плюс полный набор регуляторных статусов) и силён в государственном сегменте за счёт референсов федерального уровня (РЖД, Мосэнергосбыт, Правительство Тульской области). Face2 не вступает в эти три позиции лоб в лоб, а занимает четвёртую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Face2 складываются из пяти позиций: (1) статус банка-оператора по № 115-ФЗ с правом регистрации биометрических векторов граждан в ЕБС, недоступный технологическим вендорам и производителям СКУД; (2) аккредитация Минцифры как оператора КБС (Решение № 4-А от 15 ноября 2023 года), особенно ценная после ужесточения ответственности по 420-ФЗ и 421-ФЗ [27]; (3) институциональный стаж работы с ЕБС с июля 2018 года и положение первого банка ПФО, подключённого к этой инфраструктуре, снимающий риск восприятия Face2 как «нового и непроверенного» сервиса [39]; (4) банковская экосистема (934 тыс. розничных и 33,9 тыс. корпоративных клиентов, 930 тыс. в АБО, 450 тыс. Карт жителя РТ, рейтинги «A» и подтверждённый ESG-статус) [26, с. 17, 33]; (5) продуктовая вертикаль под банковский сценарий, закрывающая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(1) публично не зафиксированная независимая международная верификация точности (NIST FRTE, iBeta, CVPR), на которой VisionLabs строит значимую часть позиционирования [40]; (2) отсутствие собственного производства биометрических терминалов и частичная зависимость от партнёрского оборудования при том, что OVISION предлагает полный аппаратный стек одного производителя со всеми статусами (Минпромторг, реестр радиоэлектронной продукции, СКЗИ) [41]; (3) локальный масштаб — ядро коммерческой базы Face2 в Татарстане при федеральном охвате Сбера и международном — VisionLabs (38 стран); (4) в публичной линейке Face2 не зафиксировано отдельное решение по детекции дипфейков, представленное у VisionLabs (Deepfake Detection), у OVISION (антиспуфинг и детекция дипфейков) и в виде многоконтурной защиты у Сбера [38;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2.2.5 фиксирует, по каким параметрам игроки различаются, но не отвечает на вопрос, какие из этих параметров критичны для победы в отрасли, а какие — второстепенны. Этот разрыв снимается через ключевые факторы успеха (КФУ) — управляемые ресурсы и характеристики продукта,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[11, с. 39; 25, с. 112]. На основании трёх рамок предыдущих подразделов (регуляторного контура, PESTEL-анализа и пяти сил Портера) и сравнительной матрицы выделяются восемь КФУ российского рынка биометрии: регуляторно-правовой капитал, технологическая зрелость алгоритмов, доказательная база точности, продуктовая полнота под B2B/B2G, географический охват и референсная база, экосистемная интеграция, контроль аппаратного стека и антифрод-функциональность. Эти восемь факторов одновременно служат критериями балльной оценки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Восемь критериев переведены в шкалу от 1 до 5 баллов: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0,05.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7"/>
        <w:gridCol w:w="4046"/>
        <w:gridCol w:w="1348"/>
        <w:gridCol w:w="674"/>
        <w:gridCol w:w="637"/>
        <w:gridCol w:w="1348"/>
        <w:gridCol w:w="944"/>
      </w:tblGrid>
      <w:tr>
        <w:trPr>
          <w:tblHeader/>
          <w:cantSplit/>
        </w:trPr>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404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(КФУ)</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вес</w:t>
            </w:r>
          </w:p>
        </w:tc>
        <w:tc>
          <w:tcPr>
            <w:tcW w:w="6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w:t>
            </w:r>
          </w:p>
        </w:tc>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9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Взвешенный итоговый балл</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[11, с. 39; 25, с. 112;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[38].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26, с. 17, 33; 35].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 Результат чувствителен к выбору весов: при равных весах (по 0,125 на каждый критерий) первое место занимает VisionLabs (≈ 4,38) за счёт независимой верификации точности и антифрод-функциональности, второе — Сбер и OVISION (≈ 3,75), Face2 опускается на четвёртую позицию (≈ 3,38). Использованная в таблице 2.2.6 шкала весов настроена под целевой сегмент Face2 (B2B/B2G со сценариями работы с физическими лицами через ЕБС в банковской экосистеме) и измеряет соответствие игрока сегменту, а не универсальную «силу» решения; для других сегментов рынка ранжирование изменится.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и до банков, имеющих право регистрации векторов в ЕБС [1; 27; 35]; именно внутри этого ограниченного поля и формируется собственный конкурентный сегмент Face2 — B2B и B2G-заказчики со сценариями, где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с VisionLabs — по верификации алгоритмов и международному охвату, с OVISION — по аппаратному стеку, но в собственном сегменте получает уникальную для рынка комбинацию преимуществ: статус оператора по № 115-ФЗ под № 101 в перечне Банка России, аккредитацию КБС № 4-А от 15.11.2023, шестилетний стаж работы с ЕБС, банковскую экосистему и первую референтную базу федерального уровня в проектах с Минцифры, Минтрансом, ЦБТ и НСПК [27; 26, с. 4, 17, 30–31, 33; 35]. Ограничения позиции — локальный географический охват и публично не зафиксированные независимая верификация точности и отдельное решение по детекции дипфейков. Драйверы спроса работают в пользу Face2 одновременно: ужесточение ответственности по 420-ФЗ и 421-ФЗ вытесняет неаккредитованные локальные решения, а девятикратный годовой рост биометрических платежей и 10+ млн зарегистрированных в ЕБС создают эффект повседневности и снимают часть барьера доверия [27; 32]. Из этого следует задача для главы 3: анализ должен сосредоточиться не на технологических доработках, а на маркетинговых инструментах: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Опираясь на конкурентную позицию Face2, зафиксированную в параграфе 2.2, настоящий параграф проверяет, насколько текущая практика продвижения соответствует уже занятой банком нише, какие каналы и сегменты задействованы и где находятся пробелы. Текущее продвижение рассматривается через четыре аналитические рамки, введённые в параграфах 1.2 и 1.3: модель STP, расширенный комплекс маркетинга 7P (с особым весом People, Process и Physical evidence для биометрии), маркетинговая воронка с обязательным этапом «Доверие» и карта каналов из таблицы 1.2.5 в её биометрической конфигурации. Эмпирическая база — корпоративные материалы по продукту [27], годовой отчёт банка за 2024 год [26], проектная карточка TAdviser о подключении АББ к ЕБС в 2018 году [39], перечень банков по № 115-ФЗ [35] и рыночный фон по данным Банка России и деловой прессы [38;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0"/>
        <w:gridCol w:w="1586"/>
        <w:gridCol w:w="3660"/>
        <w:gridCol w:w="1952"/>
      </w:tblGrid>
      <w:tr>
        <w:trPr>
          <w:tblHeader/>
          <w:cantSplit/>
        </w:trPr>
        <w:tc>
          <w:tcPr>
            <w:tcW w:w="2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 рынка (по 2.2.2)</w:t>
            </w:r>
          </w:p>
        </w:tc>
        <w:tc>
          <w:tcPr>
            <w:tcW w:w="15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366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Реальная активность Face2</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B2C-биоэквайринг</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биометрией в АБО</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B2B (КБС банкам/МФО)</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линейке; публичных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(Минцифры, Минтранс, ЦБТ, НСПК)</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 / B2G</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биометрия в приложении</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Terminal</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конкретных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в Нацбиблиотеке РТ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внутренний контур банка).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[26, с. 30–31]. По оси типа заказчика основные ресурсы направлены на B2B и B2G, а массовый B2C-сегмент охвачен только через банковскую экосистему в пределах Татарстана — мобильное приложение АБО, приложение «Карта жителя РТ» и портал государственных услуг РТ через СБП (количественные показатели приведены в параграфе 2.1) [26, с. 17, 28–29, 33]. Эта концентрация одновременно использует региональное преимущество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15.11.2023, сертификация ФСБ и ФСТЭК, реестр отечественного ПО), архитектурная безопасность (хранение биометрических векторов в ГИС ЕБС, опора на государственную инфраструктуру), технологичность (заявленная точность 99,5%, время сканирования около двух секунд) и противопоставление локальным биометриям, нарушающим 572-ФЗ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[26, с. 4; 35]. Содержательно это позиционирование точно соответствует конкурентной нише, выявленной в параграфе 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продвижение, — гипотеза органического спроса 2018 года, рассчитывавшая на «рост интереса по мере планомерного перевода государственных услуг в систему ЕСИА» [39], — рынком 2025 года уже не подтверждается. Девятикратный рост числа биометрических платежей за 9 месяцев 2025 года к аналогичному периоду 2024 года, оборот 112,5 млрд рублей и более 10 млн пользователей ЕБС [32] показывают, что рынок перешёл в фазу зрелого спроса с активной конкурентной борьбой за долю, и пассивная стратегия органического притяжения проигрывает активной стратегии Сбера с парком в 700 тыс. терминалов и оборотом 116 млрд рублей за 2025 год [38]. Несоответствие между фазой рынка и исходной маркетинговой гипотезой банка — фундаментальная характеристика текущего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9"/>
        <w:gridCol w:w="2980"/>
        <w:gridCol w:w="2980"/>
        <w:gridCol w:w="1987"/>
      </w:tblGrid>
      <w:tr>
        <w:trPr>
          <w:tblHeader/>
          <w:cantSplit/>
        </w:trPr>
        <w:tc>
          <w:tcPr>
            <w:tcW w:w="168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из 1.2.5</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Метрика / факт</w:t>
            </w:r>
          </w:p>
        </w:tc>
        <w:tc>
          <w:tcPr>
            <w:tcW w:w="19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200 биотерминалов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 федерального уровня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 Минтранс + ЦБТ + НСПК; «Соцкарта» по Карте жителя РТ; Ростелеком (ЕБС с 2018)</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450 131 действующая Карта жителя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метро, Нацбиблиотеке РТ; СБП на POS, оплата в АБО, заселение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терминалов в офисах как демосеть</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в АБО; сдача биометрии в «Карте жителя РТ»; портал госуслуг РТ через СБП</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в АБО; 12 млн транзакций за 2024; 1,2 млн через СБП на госуслугах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как функционал, не бренд</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и сайт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контакт продаж — Салахов А. 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форм заявки, ROI-калькулятора, витрины кейсов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контактный менеджер</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не утилизирует входящий интерес</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РТ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материал федерального уровня — TAdviser (10.07.2018) [39]</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заявлено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Публичной программы выступлений по Face2 не зафиксировано</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брендом Face2</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нет; идёт «внутри» аккаунтов АББ</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 для обращений розницы</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Точечно в корпматериалах; систематической рубрики нет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Сравнение: VisionLabs ведёт Habr [40], OVISION публикует кейсы [41]</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Сильный push-контур образуют внутренний контур банка (5 000+ сотрудников × 200 биотерминалов как естественный «полигон» отладки клиентского опыта и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[40; 41]) и демонстрационные каналы внутри Татарстана.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Средняя группа каналов работает, но с интенсивностью значительно ниже, чем у конкурентов: канал прямых продаж замкнут на одного контактного менеджера [27] и не утилизирует входящий интерес,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 Третья группа — отсутствие отдельного бренда Face2 в социальных сетях и фрагментарность экспертного контента: работа с соцсетями описана в годовом отчёте 2024 года как канал работы с обращениями розничных клиентов в целом по банку [26, с. 33], систематических активностей под брендом Face2 публично не зафиксировано, тогда как у VisionLabs ведётся корпоративный блог на Habr [40], OVISION публикует кейсы внедрений [41], а Сбер транслирует свою биометрию в массовых СМИ как «оплата улыбкой»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(параграф 1.3) ставит в центр элементы People, Process и Physical evidence: именно через них продвижение преодолевает психологический и регуляторно-репутационный барьеры аудитории, тогда как Promotion и Price в классической трактовке играют второстепенную роль.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13"/>
        <w:gridCol w:w="2637"/>
        <w:gridCol w:w="3043"/>
        <w:gridCol w:w="3043"/>
      </w:tblGrid>
      <w:tr>
        <w:trPr>
          <w:tblHeader/>
          <w:cantSplit/>
        </w:trPr>
        <w:tc>
          <w:tcPr>
            <w:tcW w:w="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для биометрии (по 1.3)</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 Face2</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 пробел</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Вертикаль под банковский сценарий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Terminal, Face2Check-in, КБС под ключ; видеоаналитика (драки, упавшие, оружие, автономера, подсчёт людей)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нет публичного решения по дипфейкам — у конкурентов антифрод в коммуникации [38; 40; 41]</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условия для B2B</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раскрыта; ROI-калькулятора нет</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витрины кейсов вне РТ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релизы, демозоны в офисах</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регулярного контент-конвейера</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контакт продаж (Салахов А. А.) [27]; в TAdviser 2018 — Д. Галиев [39]</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572-ФЗ, продакт)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шага: «Госуслуги Биометрия» → упрощ. биометрия → согласие на КБС АББ → проход/оплата</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 не упакован для массовой аудитории</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кейсы, верификация</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 4-А от 15.11.2023), ФСБ, ФСТЭК, реестр ПО, № 115-ФЗ (№ 101), ЕБС с 10.07.2018, рейтинги «A», ESG-A</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нет независимой верификации точности (NIST FRTE, iBeta, CVPR), которой пользуется VisionLabs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[35], шестилетний стаж в ЕБС с 10 июля 2018 года [39]) выводит Face2 в группу из менее чем двухсот банков страны, имеющих все необходимые формальные статусы для работы с биометрией физических лиц. Однако этот регуляторный капитал транслируется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 это контентный пробел,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Остальные элементы 7P формируют ещё три пробела. People: один публичный контакт продаж [27] вместо линейки экспертных спикеров (CISO, юрист по 572-ФЗ, продакт-менеджер, разработка), которая у VisionLabs работает через корпоративный блог на Habr и публичные выступления топ-менеджмента [40]. Process: четырёхшаговый пользовательский путь подключения проработан содержательно, но описан в корпоративных материалах [27] и не упакован в массовое объяснение для внешнего читателя; B2B-заказчик получает требования к инфраструктуре, но не наглядный бизнес-кейс с расчётом окупаемости. Доказательный пробел в Product: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[38; 40; 41]; к этому добавляется публично не зафиксированная независимая международная верификация точности (NIST FRTE, iBeta, CVPR), отдельно отмеченная в параграфе 2.2. Promotion реализуется через точечные релизы без регулярного контент-конвейера, Price публично не раскрывается совсем.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эталонной воронки с фактической раскладкой активностей Face2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сильные стороны</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 — слабые стороны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35]</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 уровня в одном проекте: Минцифры, Минтранс, ЦБТ, НСПК [26,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[26,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регулярного контент-конвейера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тыс. карт, биометрия в приложении [26,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публично не зафиксирована</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[39]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Публичных тарифов, ROI-калькулятора, конверсии нет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[26,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Устаревшая гипотеза 2018 г. об органическом спросе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 — возможности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угрозы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(9 мес. 2025 / 9 мес. 2024)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в B2C-биоэквайринге: 700 тыс. терминалов, 30 млн пользователей, 116 млрд руб. за 2025 [38]</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 NIST FRTE и работа в 38 странах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 база без повторной сдачи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полный цикл СКУД с аппаратом и федер. референсами (РЖД, Мосэнергосбыт, Тульская обл.) [41]</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Массовая коммерциализация: чек ≈ 770 руб., рост по транзакциям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Утечки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сильные стороны продвижения Face2 сосредоточены в push-контуре, слабые — в pull-контуре, при этом возможности рынка (рост биометрических платежей, ужесточение 420-ФЗ и 421-ФЗ, накопление 10+ млн пользователей ЕБС [27; 32]) работают в пользу банка, а угрозы распределены по трём осям — масштабу (Сбер [38]), технологической верификации (VisionLabs [40]) и полному циклу СКУД (OVISION [41]). Продвижение находится в положении, при котором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разработки стратегии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определяет направления разработки стратегии в главе 3: каждый пробел переходит в задачу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основа для разработки стратегии в главе 3</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98"/>
        <w:gridCol w:w="3373"/>
        <w:gridCol w:w="1574"/>
        <w:gridCol w:w="1349"/>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w:t>
            </w:r>
          </w:p>
        </w:tc>
        <w:tc>
          <w:tcPr>
            <w:tcW w:w="33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5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13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Где зафиксирован</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сильны; pull-каналы (СМИ вне РТ, отдельный бренд в соцсетях) фрагментарны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аккредитации, № 115-ФЗ, ЕБС с 2018) не переведён в массовое сообщение «доверие»</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заявлены продуктово, публичных кейсов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независимой верификации (NIST FRTE, iBeta, CVPR)</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(CISO, юрист 572-ФЗ, продакт); один контакт продаж</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 (заявка, демо, ROI-калькулятор); автоворонки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Лояльностный/референсный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Воронка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АБО (930 тыс.) и Карта жителя РТ вне РТ не задействованы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Выявленные проблемы продвижения продукта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Разработка стратегии в главе 3 ведётся по этим трём параллельным направлениям.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этих направлений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следует не создавать, а активизировать. Стратегия Face2 не должна строиться ни как попытка догнать Сбер по объёму,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результаты анализа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главе 2 Ак Барс Банк был описан как разработчик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[31, с. 1–3; 27; 26,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[1; 32; 34].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38; 35; 40; 41].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26, с. 28–33; 35; 39]. Полученные результаты анализа сегментов создают информационную базу для главы 3 — разработки стратегии продвижения, опирающейся на сильные стороны Face2 (регуляторный капитал, банковская экосистема, стаж в ЕБС с 2018 года) и закрывающей выявленные пробелы по трём направлениям: расширение охвата, усиление аргументации и достройка инфраструктуры воронки.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 РАЗРАБОТКА СТРАТЕГИИ ПРОДВИЖЕНИЯ ИННОВАЦИОННОГО ПРОДУКТА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 Обоснование стратегии продвижения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результаты анализа, полученные в параграфе 2.3, в стратегическую рамку: цели, задачи, приоритетные сегменты, позиционирование и тип стратегии. Методическую основу разработки составляют инструменты, выведенные в главе 1: модель STP для сегментации и позиционирования [8, с. 314; 10, с. 175], расширенный комплекс маркетинга 7P для биометрии с особым весом элементов People, Process и Physical evidence [16, с. 48; 24, с. 106], маркетинговая воронка с обязательным этапом «Доверие» между интересом и пробным использованием [6, с. 64; 20, с. 11; 19, с. 6], рамка push/pull-стратегий и интегрированный подход [16, с. 48; 24, с. 106], а также теория диффузии инноваций Э. Роджерса [14, с. 156], задающая логику последовательной работы с разными группами аудитории — от новаторов и ранних последователей к раннему и позднему большинству.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опирается на результаты второй главы. В параграфе 2.1 показано, что Face2 прошёл путь от тестового внедрения в офисах банка в 2019 году до коммерческой биометрической системы с аккредитацией Минцифры России в 2023 году, биоэквайринга в Казанском метрополитене в 2024 году и сервисов подтверждения возраста и регистрации в гостинице без паспорта в 2025 году [27; 26, с. 28–33; 28; 29]. Согласно теории диффузии Роджерса, продукт находится на стыке стадий ранних последователей и раннего большинства: тестовый и пилотный контуры пройдены, начат этап коммерческого масштабирования, при котором ключевой задачей продвижения становится перевод накопленной доказательной базы в массовое сообщение и в массовый канал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зафиксировал конкурентную позицию Face2: сравнительная матрица (таблица 2.2.5) и балльная экспертная оценка по восьми ключевым факторам успеха (таблица 2.2.6) показали, что банк удерживает сильные позиции по регуляторно-правовому капиталу (аккредитация КБС, сертификация ФСБ и ФСТЭК, реестр отечественного ПО, шестилетний стаж в ЕБС), сегментной полноте под B2B/B2G и экосистемной интеграции, но уступает лидерам по независимой верификации точности и масштабу присутствия [27; 26; 38; 35; 40; 41]. Параграф 2.3 диагностировал асимметрию коммуникационной архитектуры: push-каналы (B2B/B2G, партнёрства, пилоты) развиты сильно, pull-каналы (массовые СМИ за пределами Татарстана, отдельный бренд в социальных сетях, экспертный контент) фрагментарны (таблица 2.3.2 и рисунок 2.3.1). Этот диагноз — отправная точка для стратегии: задача не в смене инструментов, а в их перенастройке.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проблем продвижения Face2 формируется на основе сводной таблицы 2.3.6 параграфа 2.3, в которой зафиксированы восемь пробелов, сгруппированных в три кластера. Корректное стратегическое прочтение этих пробелов требует разделения трёх содержательно разных классов проблем: внешних барьеров биометрии как технологии (формируются на уровне рынка и регулирования и описаны в параграфе 1.3, таблица 1.3.1), особенностей самого продукта Face2 (внутренние ограничения линейки и масштаба) и собственно дефицитов продвижения (коммуникационная архитектура банка). Стратегия продвижения формируется прежде всего по третьему классу, но учитывает первые два как условия успешной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Первый класс — внешние барьеры биометрии. Согласно классификации параграфа 1.3 (таблица 1.3.1), они распадаются на четыре группы: психологические (страх утечки биометрии, опасения злоупотреблений, ощущение невозможности «отозвать» сданный образец), поведенческие (привычка к карточкам и паролям, низкая осведомлённость о сценариях использования), организационные для B2B-заказчиков (длительный цикл согласований, требования к интеграции и сертификации) и регуляторно-репутационные (риск штрафов и медийных кейсов утечек) [16, с. 43–48; 24, с. 100–110; 25, с. 112–115]. Эти барьеры не уникальны для Face2 — они характеризуют биометрию как технологию и определяют рамки любой стратегии продвижения на этом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Второй класс — особенности продукта Face2. Линейка охватывает девять продуктов (коммерческая биометрическая система, Face2Pay, Face2Pass, Face2Check-in, подтверждение возраста, биометрический СКУД, доступ к ПК по биометрии, SDK, внедрение КБС под ключ) и обращена к одиннадцати отраслям применения (банки, МФО, ритейл, вендинг, маркетплейсы, аэропорты, спортивные объекты, промышленные предприятия, вузы, государственные организации, крупные корпорации) [27; 28; 29]. Соответствие продуктов и отраслей не является взаимно однозначным: один продукт линейки закрывает несколько сегментов, а один сегмент может потребовать нескольких продуктов в комплекте. Сегментная карта рынка из параграфа 2.2 (таблица 2.2.2) и продуктовая раскладка из параграфа 2.1 (таблица 2.1.4) задают матричную структуру «продукт × сегмент», которая в коммуникации переводится в необходимость отдельного ценностного предложения для каждого сегмента. Дополнительно особенностью Face2 является двухуровневая модель продаж (таблица 2.1.4 параграфа 2.1): два уровня — поставка КБС-контура аккредитованным операторам и подключение конечных объектов к КБС банка — требуют принципиально разных каналов, ЛПР и экономических конфигураций продвижения [27;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Третий класс — собственно дефициты продвижения, выявленные в параграфе 2.3. Кластер охвата объединяет канальный пробел (асимметрия push и pull, фрагментарность pull-каналов за пределами Татарстана), сегментный пробел (отсутствие публичных кейсов по гостиничному сегменту и возрастной верификации в ритейле, заявленным в продуктовой линейке) и географический пробел (концентрация коммерческого присутствия в Республике Татарстан при недостаточном использовании банковской экосистемы и Карты жителя РТ как ресурса распространения вне региона). Кластер аргументации объединяет контентный пробел (регуляторный капитал — КБС, аккредитации, включение в перечень банков по № 115-ФЗ под номером 101 [35], стаж в ЕБС с 2018 года [39] — не переведён в массовое сообщение «доверие»), доказательный пробел (отсутствие публично зафиксированной независимой международной верификации точности — NIST FRTE, iBeta, CVPR) и пробел People (нет публичной линейки спикеров — CISO, юриста по 572-ФЗ, продакт-менеджера). Кластер инфраструктуры воронки объединяет конверсионный пробел (на face2.ru нет CTA-механики — заявки на пилот, демо-доступа, ROI-калькулятора, не оформлена автоматическая воронка) и лояльностный пробел (нет системной работы с референс-клиентами: отзывы, кейсы, NPS, повторные продажи модулей). Дополнительно в параграфе 2.2 зафиксирован конкурентный фон: VisionLabs и OVISION удерживают сильные позиции по независимой верификации точности, продуктовой полноте и антифрод-функциональности, что задаёт давление по доказательной базе [40; 41] и 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Сводное представление выявленных проблем продвижения, синхронизированное с тремя кластерами таблицы 2.3.6 и тремя классами указанных выше проблем, дано в таблице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проблемы продвижения продукта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98"/>
        <w:gridCol w:w="3597"/>
        <w:gridCol w:w="3597"/>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7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пробелов (по 2.3.6)</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Проблема</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канальный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узнаваемость на федеральном уровне; pull-каналы фрагментарны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Меньше входящих обращений и доверия новых клиентов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сегментный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публичных кейсов в гостинично-ритейловых сегментах при заявленной линейке</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охват уже продуктового</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географический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банковская экосистема и Карта жителя вне РТ не задействованы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 отражает географию операций, а не потенциал рынка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контентный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ФСБ, ФСТЭК, реестр ПО, ЕБС с 2018) подаётся для специалистов</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Барьер недоверия не закрывается; этап «Доверие» недогружен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доказательный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NIST FRTE/iBeta/CVPR; мало кейсов с экономикой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Усложняет B2B-решения; снижает позицию против VisionLabs/OVISION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People</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один контакт продаж</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Слабее экспертное позиционирование в B2B/B2G</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конверсионный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CTA-механики и автоворонки на face2.ru</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не конвертируется в пробу</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лояльностный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работает «Лояльность»; референсная база не воспроизводится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40; 41; 39] и параграфа 2.3 (таблица 2.3.6) с учётом классификации барьеров биометрии параграфа 1.3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в таблице 3.1.1 показывает, что пробелы продвижения Face2 сосредоточены не в зоне продуктовых характеристик и не в зоне регуляторного капитала — в этих зонах банк удерживает сильную позицию по результатам параграфа 2.2 — а в зоне коммуникационной архитектуры. Стратегия продвижения, разрабатываемая в подразделах 3.1.2–3.1.5 и в параграфе 3.2, должна последовательно закрывать три кластера пробелов: охват, аргументацию и инфраструктуру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продвижения Face2 формулируется в SMART-логике с горизонтом 2026–2028 годов: повысить узнаваемость Face2 на российском рынке биометрических решений и сформировать доверие к продукту со стороны B2B-, B2G- и B2C-аудиторий,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pull-канала (массовое цифровое присутствие, экспертный контент, отраслевые публикации) в структуре коммуникационных активностей до уровня, сопоставимого с push-каналом, при сохранении конкурентного преимущества по регуляторно-правовому капиталу. Численные ориентиры по узнаваемости, количеству лидов, пилотным проектам и коммерческой конверсии формируются в параграфе 3.3 как KPI стратегии и согласуются с мероприятиями параграфа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разворачивается в семь задач, каждая из которых закрывает один из трёх кластеров пробелов, выделенных в таблице 3.1.1, и сшита с подразделом параграфа 3.2, в котором эта задача будет реализована мероприятиями: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уточнить позиционирование Face2 как комплексной отечественной биометрической платформы Ак Барс Банка, соответствующей требованиям 572-ФЗ и ориентированной на практические задачи организаций (закрывает контентный пробел; реализуется в подразделе 3.1.4 и в подразделах 3.2.1,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сформировать отраслевые ценностные предложения для шести приоритетных сегментов с учётом двухуровневой модели продаж (закрывает сегментный пробел; реализуется в подразделах 3.1.3 и 3.2.1,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усилить коммуникацию по вопросам безопасности биометрических данных, соответствия требованиям 572-ФЗ, использования ЕБС и КБС, переведя регуляторный капитал из языка специалистов в массовое сообщение «доверие» (закрывает контентный и доказательный пробелы; реализуется в подразделе 3.2.4 и на этапе «Доверие» маркетинговой воронки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повысить узнаваемость Face2 на федеральном рынке за счёт PR-активности, участия в отраслевых мероприятиях, публикации экспертных материалов и развития цифровых каналов (закрывает канальный и географический пробелы; реализуется в подразделах 3.2.3,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 расширить доказательную базу продукта за счёт публичных кейсов внедрения, демонстрационных проектов, расчётов экономического эффекта и сравнительных материалов (закрывает доказательный пробел и пробел People; реализуется в подразделах 3.2.2,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 развернуть систему продвижения для двух уровней продаж — КБС под ключ для аккредитованных операторов (уровень 1) и подключение конечных объектов к КБС Ак Барс Банка по транзакционной или абонементной модели (уровень 2), включая прямые продажи, партнёрства с интеграторами и вендорами оборудования, пилотные проекты и B2C-сценарии для конечных пользователей сервисов Face2Pay, Face2Pass и Face2Check-in (закрывает канальный, географический и конверсионный пробелы; реализуется в подразделах 3.2.1,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ё) сформировать систему показателей эффективности продвижения и инфраструктуру референсной работы — отзывы, кейс-стади, NPS, программа повторных продаж модулей (закрывает конверсионный и лояльностный пробелы; реализуется в подразделе 3.2.5 и в параграфе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и сшивка задач с кластерами пробелов и подразделами 3.2 представлены в таблице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Цели и задачи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6"/>
        <w:gridCol w:w="4380"/>
        <w:gridCol w:w="2920"/>
      </w:tblGrid>
      <w:tr>
        <w:trPr>
          <w:tblHeader/>
          <w:cantSplit/>
        </w:trPr>
        <w:tc>
          <w:tcPr>
            <w:tcW w:w="23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стратегии</w:t>
            </w:r>
          </w:p>
        </w:tc>
        <w:tc>
          <w:tcPr>
            <w:tcW w:w="43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9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 реализация</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доверие B2B/B2G/B2C; к 2026–2028 +3× к подтверждённым внедрениям 2025 г.; pull-канал сопоставим с push</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три кластера / 3.2,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Коммуникационная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Перевести регкапитал в массовое «доверие»; усилить экспертное позиционирование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офферы под 6 сегментов × 2 уровня; расширить цифровые и PR-каналы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аргументация / 3.2.1, 3.2.2,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заявок, пилотов и внедрений по обоим уровням</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инфраструктура / 3.2.1,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Face2 как отечественную биоплатформу с банковской экспертизой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 продвижения, регулярная оценка, программа референсов</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3.2.5,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отраслевых кейсов с экономикой; линейка спикеров (CISO, юрист 572-ФЗ, продакт)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3.2.2,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CTA-механика на face2.ru (заявка, демо, ROI), автоворонка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3.2.3, 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параграфов 1.2 (таблица 1.2.1) и 2.3 (таблица 2.3.6),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Сшивка задач с кластерами пробелов и подразделами параграфа 3.2 делает стратегию операционализируемой: каждая задача 3.1.2 имеет явный адрес реализации и явный измеримый результат, который будет оценён системой KPI параграфа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и приоритизация целевых сегментов выполняются по модели STP [8, с. 314; 10, с. 175]: сегментация рынка проведена в параграфе 2.2 (таблица 2.2.2 — шесть устойчивых сегментов российского рынка биометрии: государственная идентификация, финансовый сектор, транспорт, СКУД режимных объектов, ритейл с возрастной верификацией, гостиничный сегмент); таргетирование выполняется в настоящем подразделе по трём критериям приоритизации; позиционирование — в подразделе 3.1.4. Критерии приоритизации сегментов: соответствие сильным сторонам Face2 по результатам балльной оценки конкурентов (таблица 2.2.6 — регуляторный капитал, экосистемная интеграция, банковская экспертиза); текущая стадия закрытия сегмента продуктово и коммуникативно (таблица 2.3.1); экономический потенциал — рост биометрических платежей, количество пользователей ЕБС, плотность регуляторных требований [27; 38;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ведётся в разрезе двухуровневой модели продаж Face2, введённой в таблице 2.1.4 параграфа 2.1. Уровень 1 — поставка полного программного контура КБС аккредитованной организации-оператору биометрии (банку-партнёру или государственной структуре с правом регистрировать векторы в ЕБС): длительный цикл продажи, единичные сделки, ЛПР — топ-менеджмент и совет директоров заказчика, каналы — прямые B2B-продажи, отраслевые конференции, персональные демонстрации, экономика — лицензионные и проектные платежи [27; 28; 29]. Уровень 2 — подключение конечного объекта к КБС, размещённой у Ак Барс Банка, по транзакционной или абонементной модели без аккредитации заказчика: короткий цикл продажи, массовые сделки, ЛПР — операционный менеджмент объекта, каналы — партнёрства с интеграторами, вендорами оборудования и платёжными провайдерами, цифровые каналы и pull-инструменты, экономика — транзакционные комиссии и абонементные платежи [27; 29]. На втором уровне в качестве конечного потребителя сервиса (B2C-составляющая) выступает физическое лицо — пользователь Face2Pay, Face2Pass или Face2Check-in: для него стратегия продвижения формирует pull-спрос через массовые сценарии (метро, ритейл, гостиница, спортивная арена) и через коммуникацию о безопасности и удобстве биометрии. Согласно теории диффузии инноваций Э. Роджерса, в B2C-составляющей приоритетной аудиторией стратегии на горизонте 2026–2028 годов являются ранние последователи и раннее большинство,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сегменты в разрезе двух уровней продаж и с указанием отраслевого ценностного предложения представлены в таблице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целевые сегменты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91"/>
        <w:gridCol w:w="1291"/>
        <w:gridCol w:w="2185"/>
        <w:gridCol w:w="1788"/>
        <w:gridCol w:w="2980"/>
      </w:tblGrid>
      <w:tr>
        <w:trPr>
          <w:tblHeader/>
          <w:cantSplit/>
        </w:trPr>
        <w:tc>
          <w:tcPr>
            <w:tcW w:w="13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2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(по 2.1.4)</w:t>
            </w:r>
          </w:p>
        </w:tc>
        <w:tc>
          <w:tcPr>
            <w:tcW w:w="21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7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Потребитель</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KYC, SDK</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Банки-операторы биометрии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антифрод, KYC по ЕБС, банковская экспертиза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 (через банк)</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KYC, интеграция с КБС</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Готовая дистанц. идентификация заёмщиков; ниже опер./регрисков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оплаты, возрастная верификация, новый CX</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Вендинг</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Операторы вендинга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Автоматизация продажи возрастных товаров без продавца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скорость регистрации</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в кампус, посещаемость, защита от передачи пропусков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 доступ к ПК</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Режимные предприятия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и времени, защита периметра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и МФЦ</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идентификация без документов,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Госорганы, МФЦ</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доступность услуг, соответствие регулированию</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Транспортная инфраструктура</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аэропорты, перевозчики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пассажиропотока, биоэквайринг по модели Казанского метро</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и массовые объекты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Арены, концертные площадки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потоки, проход без билетов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41; 28; 29], параграфов 2.1 (таблица 2.1.4) и 2.2 (таблица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двум уровням продаж в таблице 3.1.3 показывает, что банки и государственные учреждения преимущественно относятся к первому уровню продаж и требуют push-инструментов с длинным циклом согласования, тогда как ритейл, вендинг, гостиницы, вузы, промышленные предприятия, транспорт и массовые объекты относятся ко второму уровню и могут продвигаться через интеграторов, вендоров оборудования и pull-инструменты массового охвата. Это распределение задаёт принципиальную развилку для типа стратегии, обоснование которой даётся в подразделе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формируется как третий шаг модели STP и опирается на конфигурацию комплекса 7P, выведенную в параграфе 1.3 и сопоставленную с фактической практикой Face2 в параграфе 2.3 (таблица 2.3.3). По результатам этого сопоставления самым сильным элементом комплекса маркетинга Face2 является Physical evidence — регуляторно-правовой капитал, удерживаемый банком (КБС, аккредитация Минцифры России, сертификация ФСБ и ФСТЭК, реестр отечественного ПО, № 101 в перечне банков по № 115-ФЗ [35], стаж в ЕБС с 10 июля 2018 года [39]), — но его коммуникационная эффективность снижена из-за того, что он подаётся языком специалистов, а не массовой аудитории. Целевая конфигурация 7P для стратегии продвижения Face2 предполагает усиление элементов People (линейка спикеров — CISO, юрист по 572-ФЗ, продакт-менеджер) и Process (автоматическая воронка на face2.ru, CTA-механика, ROI-калькулятор) при сохранении и переоформлении Physical evidence в массовое сообщение «доверие». Маркетинговая воронка из таблицы 1.2.4 параграфа 1.2 в её биометрической конфигурации (рисунок 2.3.1) требует расширения этапа «Доверие» — именно на нём концентрируются элементы позиционирования, переводящие регуляторный капитал банка в аргумент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этой базе позиционирование формулируется через единое ценностное предложение, которое раскрывается далее в пяти смысловых блоках: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 — комплексная отечественная биометрическая платформа Ак Барс Банка для бизнеса и государственных организаций, обеспечивающая безопасную идентификацию, оплату, контроль доступа и обслуживание клиентов в соответствии с требованиями законодательства Российской Федерации.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качестве слогана-якоря, под который разворачивается коммуникация в параграфе 3.2, предлагается формулировка: «Биометрия по закону, банковский уровень доверия». Слоган фиксирует два ключевых дифференциатора Face2 (соответствие 572-ФЗ и принадлежность банковской инфраструктуре аккредитованного оператора) и работает одновременно на этапе «Осведомлённость» и на этапе «Доверие» маркетинговой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раскрывается через пять смысловых блоков. Во-первых, законность и соответствие требованиям регулирования: Face2 продвигается как решение, позволяющее организациям использовать биометрию в правовом поле — на базе аккредитованной КБС, ЕБС и сертификации ФСБ и ФСТЭК [27; 1; 36; 37; 28]. Этот блок критичен для банков, МФО, государственных учреждений, крупных предприятий и режимных объектов. Во-вторых, безопасность и защита данных: коммуникация подчёркивает архитектуру защищённого хранения биометрических векторов, использование криптозащиты и снижение рисков несанкционированного доступа [16, с. 43–48; 24, с. 100–110; 25, с. 112–115; 1; 36]. В-третьих, комплексность платформы: Face2 позиционируется как экосистема биометрических решений, охватывающая КБС, биоэквайринг (Face2Pay), биометрический проход (Face2Pass), регистрацию в гостинице (Face2Check-in), подтверждение возраста, доступ к ПК и SDK для интеграторов [27; 28; 29]; комплексность даёт заказчику возможность закрыть несколько задач одним поставщиком. В-четвёртых, банковская экспертиза и практический опыт внедрения: использование Face2 более чем 5 тыс. сотрудников банка и работа около 200 биотерминалов в офисах и отделениях [27; 26, с. 33] подтверждают применимость продукта в крупной организации и закрывают типовое возражение B2B-аудитории о неотлаженности технологии. В-пятых, отечественное технологическое решение: в условиях курса на технологическую независимость Face2 опирается на отечественное программное обеспечение, реестр Минцифры и отечественные терминалы, что переводится в аргумент соответствия политике импортозамещения для государственного и корпоративного сегмента [27; 1; 35; 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Систематизация ключевых элементов позиционирования и значения каждого элемента для клиента дана в таблице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элементы позиционирования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87"/>
        <w:gridCol w:w="4663"/>
        <w:gridCol w:w="2487"/>
      </w:tblGrid>
      <w:tr>
        <w:trPr>
          <w:tblHeader/>
          <w:cantSplit/>
        </w:trPr>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позиционирования</w:t>
            </w:r>
          </w:p>
        </w:tc>
        <w:tc>
          <w:tcPr>
            <w:tcW w:w="4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клиента</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Законность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ЕБС, КБС</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юридических рисков</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Криптозащита, ФСБ, ФСТЭК, защищённая инфраструктура</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 продукту</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Комплексность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Face2Pass, Face2Check-in, возраст, доступ к ПК, SDK</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поставщик на несколько задач</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экспертиза</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 внутренний кейс (5 тыс. сотрудников, 200 биотерминалов)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Надёжность</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Отечественное решение</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Российское ПО и терминалы, реестр Минцифры</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Импортозамещение</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Практическая эффективность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доступ, снижение рисков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выгода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43–48; 24, с. 100–110; 25, с. 112–115; 27; 26, с. 33; 1; 36; 35; 39; 37;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Таким образом, стратегическое позиционирование Face2 строится не только на технологической новизне, но и на сочетании пяти факторов: законности, безопасности, комплексности, банковской экспертизы и отечественного происхождения. Эти факторы выделяют Face2 среди конкурентов, зафиксированных в таблице 2.2.6 (VisionLabs, OVISION, Сбер), и формируют основу для отраслевых ценностных предложений из таблицы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альтернативных типов стратегии (push, pull, интегрированная, партнёрская — таблица 1.2.2) для Face2 выбирается интегрированная push-pull-стратегия с асимметричным усилением pull-контура на втором уровне продаж и сохранением сильного push-контура на первом. Чисто push-стратегия лишь усиливает уже сильный контур и не закрывает канальный, географический и конверсионный пробелы; чисто pull-стратегия требует ресурсов уровня Сбера и не учитывает первичности B2B-согласований для биометрии (параграф 1.3); партнёрская стратегия у Face2 уже работает и не снимает асимметрию.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Развилка по уровням продаж: на первом уровне (КБС под ключ аккредитованным операторам) сохраняется push-контур с длительным циклом согласований и персональными продажами; на втором уровне (Face2Pay, Face2Pass, Face2Check-in) разворачивается pull-контур через цифровые каналы, контент-маркетинг и работу с ранними последователями. Такая конфигурация конвертирует уже накопленный институциональный капитал банка (регуляторное преимущество, стаж в ЕБС с 2018 года, банковская экосистема, более 10 млн пользователей ЕБС [27; 32; 39]) в массовое сообщение и массовый канал без размывания регуляторного позиционирования и без инвестиций в собственный B2C-маркетинг федерального масштаба.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3.1. Тип стратегии и логика её построения обоснованы выше: интегрированный push-pull-контур с асимметрией по уровням продаж закрывает три кластера пробелов таблицы 2.3.6, опирается на сильные стороны Face2 по таблице 2.2.6 и нацелен на трёхкратное увеличение подтверждённых внешних внедрений к базе 2025 года при доведении доли pull-канала до уровня, сопоставимого с push. Слоган-якорь «Биометрия по закону, банковский уровень доверия» переводит регуляторный капитал в массовое сообщение. Содержательное наполнение разрабатывается в параграфе 3.2, проверка эффективности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стратегические направления, сегментирование и позиционирование, обоснованные в параграфе 3.1, в комплекс конкретных мероприятий по логике «направления → офферы → каналы → контент и PR → этапы внедрения → бюджет» [18, с. 5; 8, с. 412; 10, с. 156]. Каждое мероприятие имеет адресный пробел из таблицы 2.3.6, который оно закрывает, и адресную задачу из таблицы 3.1.2, которую оно решает.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Двухуровневая модель продаж Face2 (таблица 2.1.4) предполагает, что стратегические направления не могут быть едиными для всех сегментов: длительный цикл КБС-проектов уровня 1 несовместим с массовой коммуникацией, а транзакционная экономика подключений уровня 2 — с режимом единичных персональных продаж [27; 28; 29]. Выделяются три направления продвижения — А (push в B2B длинного цикла, уровень 1), Б (pull в B2B/B2G короткого цикла, уровень 2) и В (B2C-слой как подложка к уровню 2, реализующий теорию диффузии Э. Роджерса для ранних последователей и раннего большинства [14, с. 156, 161]). Сводная характеристика дана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направления продвижения Face2 по сегментам и уровням продаж</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3"/>
        <w:gridCol w:w="1723"/>
        <w:gridCol w:w="2153"/>
        <w:gridCol w:w="717"/>
        <w:gridCol w:w="1292"/>
        <w:gridCol w:w="2153"/>
        <w:gridCol w:w="663"/>
      </w:tblGrid>
      <w:tr>
        <w:trPr>
          <w:tblHeader/>
          <w:cantSplit/>
        </w:trPr>
        <w:tc>
          <w:tcPr>
            <w:tcW w:w="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17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Аудитория</w:t>
            </w:r>
          </w:p>
        </w:tc>
        <w:tc>
          <w:tcPr>
            <w:tcW w:w="7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Цикл</w:t>
            </w:r>
          </w:p>
        </w:tc>
        <w:tc>
          <w:tcPr>
            <w:tcW w:w="129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Точки входа</w:t>
            </w:r>
          </w:p>
        </w:tc>
        <w:tc>
          <w:tcPr>
            <w:tcW w:w="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Задачи 3.1.2</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госструктуры, крупные корпорации</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квартала</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 + партнёрская</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конференции, экспертные публикации, демозона АББ</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в), д)</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(Face2Pay/Pass/Check-in)</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вендинг, транспорт, БЦ, вузы, гостиницы, промпредприятия, аэропорты, спортобъекты</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недель</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типовое отраслевое предложение</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маркетплейсы, CTA на face2.ru</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г), е)</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Подложка к уровню 2</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Конечные пользователи Face2Pay/Check-in/Pass</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Транзакция</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точка контакта</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Терминал, АБО, «Карта жителя РТ», массовые СМИ</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 ё)</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2.1.4, 3.1.2, 3.1.3, [11, с. 567; 16, с. 48; 24, с. 106; 6, с. 87; 8, с. 567; 10, с. 198;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Три направления закрывают разные кластеры пробелов 2.3.6: А и Б — канальный (разведение push/pull по уровням продаж), Б и В — сегментный (гостиничный, возрастная верификация, B2C) и географический (выход за пределы Республики Татарстан через цифровые каналы и массовые СМИ).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 «один сегмент — одно ценностное предложение» [5, с. 124; 8, с. 318] требует от стратегии Face2 матрицы из шести офферов с собственным ценностным предложением, ключевым сообщением, количественной аргументацией и форматом коммерческого предложения для каждого сегмента из таблицы 3.1.3. Это закрывает контентный пробел 2 (регуляторный капитал переводится в массовое сообщение раздельно по сегментам) и сегментный пробел 3 таблицы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Отраслевые офферы Face2 для шести приоритетных сегментов</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26"/>
        <w:gridCol w:w="1916"/>
        <w:gridCol w:w="2222"/>
        <w:gridCol w:w="2299"/>
        <w:gridCol w:w="1302"/>
        <w:gridCol w:w="670"/>
      </w:tblGrid>
      <w:tr>
        <w:trPr>
          <w:tblHeader/>
          <w:cantSplit/>
        </w:trPr>
        <w:tc>
          <w:tcPr>
            <w:tcW w:w="12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91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22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Сообщение</w:t>
            </w:r>
          </w:p>
        </w:tc>
        <w:tc>
          <w:tcPr>
            <w:tcW w:w="2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Аргументы</w:t>
            </w:r>
          </w:p>
        </w:tc>
        <w:tc>
          <w:tcPr>
            <w:tcW w:w="13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Формат КП</w:t>
            </w:r>
          </w:p>
        </w:tc>
        <w:tc>
          <w:tcPr>
            <w:tcW w:w="6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от регбанка с банковской экспертизой</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 572-ФЗ»</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из 16 аккред. КБС РФ; ЕБС с 2018; 5 тыс. сотр., 200 терм.; № 101 в перечне ЦБ</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Эксперт-встреча + RFP + демо + ТЭО</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вендинг</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и возраст-верификация без аккредитации</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«Платёж лицом — быстрее карты и QR»</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 руб. чек; 145,9 млн платежей за 9 мес. 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онлайн-заявка</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проезда лицом — кейс Казанского метро</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 работает в одной из крупнейших транспортных систем РФ»</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Минтранс, ЦБТ, НСПК; 145,9 млн платежей</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с регоператором + Минтранс</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 и массовые объекты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Заселение/проход без паспорта по вектору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 млн векторов полезной базы ЕБС — ваши гости тоже»</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119 млн векторов в ЕБС на 31.12.2025; полезная &gt; 50 млн; +10× за 2024–2025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3, 8</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вузы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и пропуска можно списать»</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ниже опер. рисков</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опц. пилот</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МФЦ</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Идентификация без документов</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без потери юридической силы»</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 «Карта жителя РТ»; 5-уровневый регконтур</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в субъекте → тираж</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3, 4, 8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2.2.2, 3.1.3, [5, с. 124; 8, с. 318; 27; 26, с. 29, 33; 35; 32; 39; 37; 34; 28; 29], а также по предоставленным компанией данным.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Матрица решает три задачи: переводит регуляторный капитал в шесть сообщений, понятных операционному менеджменту конкретных сегментов; фиксирует количественную доказательную базу для каждого оффера; дифференцирует формат КП — от экспертной встречи с RFP в банковском сегменте до онлайн-заявки в ритейле.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Канальная структура Face2 формируется как ответ на канальный (1), географический (8) и конверсионный (6) пробелы таблицы 2.3.6. Принципиальное решение — сохранение сильного push-контура (внутренний контур банка, партнёрские каналы федерального уровня, демонстрационные каналы в Республике Татарстан, инвентаризированные в таблице 2.3.2) и достройка pull-контура за счёт четырёх канальных групп: цифровых каналов, экспертных офлайн-каналов, партнёрских каналов и банковской экосистемы как самостоятельного канала. Целевая структура представлена в таблице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Целевая канальная структура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3"/>
        <w:gridCol w:w="2888"/>
        <w:gridCol w:w="662"/>
        <w:gridCol w:w="1547"/>
        <w:gridCol w:w="1547"/>
        <w:gridCol w:w="1237"/>
      </w:tblGrid>
      <w:tr>
        <w:trPr>
          <w:tblHeader/>
          <w:cantSplit/>
        </w:trPr>
        <w:tc>
          <w:tcPr>
            <w:tcW w:w="17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каналов</w:t>
            </w:r>
          </w:p>
        </w:tc>
        <w:tc>
          <w:tcPr>
            <w:tcW w:w="28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66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Обслуживаемое направление 3.2.1</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12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face2.ru с CTA-механикой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Интерес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Face2 (Telegram, ВКонтакте, Habr)</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1, 2, 5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1, 7</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(FINOPOLIS, CIPR и др.)</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зона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Закрытые экспертные встречи</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 Принятие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Интеграторы</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Вендоры оборудования</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партнёры (Минцифры, Минтранс, ЦБТ, НСПК)</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B2G</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Мобильное приложение АБО АББ (930 тыс. пользователей)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(450 131 карта)</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Сеть из 166 офисов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Регистрация в ЕБС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2.3.2, [6, с. 87; 7; 27; 26, с. 17, 29, 30–31,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существующей структуре «как есть» (таблица 2.3.2) добавляются четыре новых элемента: переоснащённый face2.ru с CTA-механикой, отдельный бренд Face2 в соцсетях, контекстная реклама под направление Б и банковская экосистема как самостоятельный канал направления В. Push-блок при этом сохраняется в полном объёме, что соответствует асимметричной интегрированной стратегии §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наполняет этап «Доверие» маркетинговой воронки массовой аудиторией и синхронно закрывает три пробела аргументации таблицы 2.3.6: контентный (2) — переводом регуляторного капитала в массовое сообщение; доказательный (4) — планом независимой международной верификации точности (NIST FRTE, iBeta Level 2); пробел People (5) — формированием публичной линейки из четырёх ролей: CISO банка, юрист по № 572-ФЗ, продакт-менеджер Face2, амбассадоры из числа референс-клиентов. Контент-конвейер строится на трёх типах материалов — регуляторном, кейсовом и доказательном [1; 36; 35; 40; 37; 2; 3; 4; 28; 29]. PR-стратегия выводит размещения за пределы татарстанских изданий в деловые федеральные СМИ и отраслевые ИТ-каталоги, закрывая географический (8) и канальный (1) пробелы. Распределение мероприятий сведено в таблице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2677"/>
        <w:gridCol w:w="1606"/>
        <w:gridCol w:w="1820"/>
        <w:gridCol w:w="1070"/>
        <w:gridCol w:w="749"/>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60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Регулярность</w:t>
            </w:r>
          </w:p>
        </w:tc>
        <w:tc>
          <w:tcPr>
            <w:tcW w:w="1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10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Спикер</w:t>
            </w:r>
          </w:p>
        </w:tc>
        <w:tc>
          <w:tcPr>
            <w:tcW w:w="7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(572-ФЗ, ЕБС, КБС, 420/421-ФЗ)</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email</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 по 572-ФЗ</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Кейсы внедрений с расчётом эффекта</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кейс/мес.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СМИ</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 + амбассадор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 материалы (точность, спуфинг, дипфейки)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публ./квартал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Habr + сайт</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 + 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федеральных СМИ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«Ведомости», РБК, «Коммерсантъ»</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Профильный спикер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1, 8</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ИТ-каталогах</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обновлениям</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CNews</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NIST FRTE</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iBeta Level 2 (антиспуфинг)</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выступления</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4–6/год</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FINOPOLIS, CIPR, отраслевые форумы</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четыре роли</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2.3.3, [16, с. 43–48; 24, с. 100–110; 6, с. 87; 7; 1; 36; 35; 40; 32; 37; 2; 3; 4;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 существующей практики Face2 стратегия отличается тремя элементами: переходом от точечных пресс-релизов к регулярному контент-конвейеру; планом получения независимой международной верификации точности; формированием публичной линейки из четырёх спикеров вместо одного контактного менеджера. Совокупно эти элементы наполняют этап «Доверие» массовой аудиторией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Горизонт реализации — 36 месяцев, разделённых на три фазы. Содержательная логика по фазам сведена в таблице 3.2.5; календарный план с RACI и контрольными точками — в подразделе 3.3.4 (разделение содержательной и организационной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Содержательная логика этапов реализации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37"/>
        <w:gridCol w:w="820"/>
        <w:gridCol w:w="3075"/>
        <w:gridCol w:w="1230"/>
        <w:gridCol w:w="2973"/>
      </w:tblGrid>
      <w:tr>
        <w:trPr>
          <w:tblHeader/>
          <w:cantSplit/>
        </w:trPr>
        <w:tc>
          <w:tcPr>
            <w:tcW w:w="15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w:t>
            </w:r>
          </w:p>
        </w:tc>
        <w:tc>
          <w:tcPr>
            <w:tcW w:w="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Горизонт</w:t>
            </w:r>
          </w:p>
        </w:tc>
        <w:tc>
          <w:tcPr>
            <w:tcW w:w="30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2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c>
          <w:tcPr>
            <w:tcW w:w="29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к выходу</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Активация</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CTA-сайт, контент-конвейер, спикеры, заявки на NIST/iBeta, бренд в соцсетях, типовые КП</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(частично), 2, 5, 6</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лидов и доказательная база в работе</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Масштабирование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7–18</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Конференции, партнёрская сеть, пилоты в 3 сегментах, экосистема как канал, СМИ</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1, 3, 4, 8</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Накопленная референсная база и подтверждённые сертификации</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Закрепление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19–36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Референс-программа, расширение географии, эволюция продукта, B2G</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8 (углубление)</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Устойчивая узнаваемость и зрелая pull-воронка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анализа подразделов 3.2.1–3.2.4 с опорой на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Закрытие восьми пробелов распределяется по фазам неравномерно: пробелы аргументации (2, 5) и инфраструктуры воронки (6) — в фазе активации; пробелы охвата (1, 3, 8) и доказательный (4) — в фазе масштабирования; лояльностный (7) — в фазе закрепления. Это распределение задаёт логику бюджета (§ 3.2.6) и системы KPI (§ 3.3): фаза 1 требует приоритетных вложений в CAPEX, фаза 2 — в OPEX, фаза 3 — поддерживающего бюджета.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Логические зависимости между фазами: CTA-механика на face2.ru (фаза 1) — вход в digital-каналы фазы 2; публичная линейка спикеров (фаза 1) — вход в PR-активности фазы 2; результаты NIST FRTE и iBeta (фаза 2) — вход в массовое позиционирование фазы 3; пилоты фазы 2 — основа референсной базы фазы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переводит мероприятия 3.2.1–3.2.5 в плоскость затрат и формирует вход в § 3.3.2 для расчёта ROI. Структура бюджета строится по двум разрезам: тип затрат (CAPEX — разовые, OPEX — текущие) и фаза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бюджета мероприятий и ресурсное обеспечение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97"/>
        <w:gridCol w:w="844"/>
        <w:gridCol w:w="679"/>
        <w:gridCol w:w="679"/>
        <w:gridCol w:w="679"/>
        <w:gridCol w:w="1857"/>
      </w:tblGrid>
      <w:tr>
        <w:trPr>
          <w:tblHeader/>
          <w:cantSplit/>
        </w:trPr>
        <w:tc>
          <w:tcPr>
            <w:tcW w:w="48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Статья</w:t>
            </w:r>
          </w:p>
        </w:tc>
        <w:tc>
          <w:tcPr>
            <w:tcW w:w="8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67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w:t>
            </w:r>
          </w:p>
        </w:tc>
        <w:tc>
          <w:tcPr>
            <w:tcW w:w="67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w:t>
            </w:r>
          </w:p>
        </w:tc>
        <w:tc>
          <w:tcPr>
            <w:tcW w:w="67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w:t>
            </w:r>
          </w:p>
        </w:tc>
        <w:tc>
          <w:tcPr>
            <w:tcW w:w="185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Связь с подразделом 3.2</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Контентная студия (оборудование + первичная команда)</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 материалы и видеокейсы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3.2.1, 3.2.4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Брендинг отдельной платформы Face2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(команда, гонорары)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PR-сопровождение (агентство / PR-менеджер)</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(стенды, спонсорство, командировки)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 программа (комиссии интеграторов и вендоров)</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SMM (редактор, дизайнер, продвижение публикаций)</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(NPS, отзывы, кейс-стади)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низкая интенсивность затрат, «X» — высокая, «→» — нарастание; «—» — затраты не предусмотрены.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логике подразделов 3.2.1–3.2.5; численные значения статей бюджета подлежат уточнению по данным маркетинговой службы ПАО «Ак Барс Банк» или по отраслевым бенчмаркам и используются в подразделе 3.3.2 как сценарные.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Качественная структура расходов даёт три устойчивых наблюдения для § 3.3.2: фаза 1 — высокая доля CAPEX и умеренный OPEX (запуск инфраструктуры лидов); фаза 2 — снижение CAPEX и рост OPEX (обслуживание коммерческой деятельности); фаза 3 — преимущественно OPEX с добавлением референсной программы.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3.2. Комплекс маркетинговых мероприятий построен как операционная развёртка интегрированной push-pull-стратегии и разворачивается в шести подразделах: три направления продвижения (3.2.1), шесть отраслевых офферов (3.2.2), четыре группы каналов (3.2.3), контент и PR с линейкой из четырёх спикеров и планом независимой сертификации (3.2.4), трёхфазная логика реализации (3.2.5) и структура бюджета (3.2.6). Восемь пробелов таблицы 2.3.6 распределены между подразделами 3.2 без пропусков и дублирования. Ожидаемый эффект — переход от точечной push-логики к интегрированной push-pull-логике, перевод регуляторного капитала в шесть отраслевых сообщений и публичную линейку спикеров, ввод банковской экосистемы (АБО — 930 тыс. пользователей, «Карта жителя РТ» — 450 131 карта, 166 офисов) как самостоятельного pull-канала. Численная оценка эффекта, KPI, риски и оргплан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 Оценка эффективности предложенной стратегии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Методический контур оценки эффективности задаётся четырьмя утверждениями, фиксируемыми в начале подраздела с тем, чтобы избежать претензии о произвольности расчёта.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Первое — горизонт оценки. Стратегия оценивается на горизонте 36 месяцев, разделённом на три фазы по образцу таблицы 3.2.5: фаза активации (месяцы 1–6), фаза масштабирования (месяцы 7–18) и фаза закрепления (месяцы 19–36). Промежуточные точки контроля — окончания фаз; внутри фазы 1 предусмотрен дополнительный квартальный контроль (месяцы 3 и 6), что соответствует логике короткого цикла обратной связи на этапе запуска инфраструктуры привлечения лидов.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Второе — сценарность расчёта. Оценка выполняется в трёх сценариях — пессимистическом (Π), реалистическом (Р) и оптимистическом (О), различающихся предположениями о темпе масштабирования партнёрской сети, скорости получения независимых международных сертификаций (NIST FRTE, iBeta Level 2), конверсии посетителя face2.ru в заявку и конверсии пилотов во внедрения. Сценарность согласована с указанием на гибкость ценовой и коммуникационной стратегии в условиях неопределённости рынка [18, с. 5; 10, с. 156] и работает на снижение риска переоценки эффекта.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Третье — типология метрик. Используются четыре типа KPI, последовательно соответствующие этапам маркетинговой воронки из таблицы 1.2.4 параграфа 1.2: метрики охвата (audience metrics) — уникальные посетители face2.ru, медиа-охват, число подписчиков отдельного бренда Face2 в социальных сетях, цитируемость в деловых СМИ; метрики вовлечения (engagement metrics) — число входящих обращений, загрузки типовых коммерческих предложений по шести сегментам, средний скоринг лидов; метрики конверсии (conversion metrics) — доля пилотных проектов от лидов, доля внедрений от пилотов, средний цикл сделки по двум уровням продаж; метрики коммерческого результата (revenue metrics) — выручка по уровням продаж из таблицы 2.1.4, средний чек подключения, ROI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Четвёртое — методические ограничения, фиксируемые открыто. Их три. Во-первых, отсутствие публичных бенчмарков по конверсии в B2B-биометрии в Российской Федерации, что требует опоры на общеотраслевые бенчмарки B2B-маркетинга и на экспертную оценку автора с возможностью её последующего уточнения маркетинговой службой банка. Во-вторых, неопределённость отклика рынка на pull-инструменты в первый год после их запуска, что требует обязательного контроля по итогам фазы 1 с правом пересборки офферов и посадочных страниц. В-третьих, отсутствие у автора доступа к внутренним данным управленческой отчётности ПАО «Ак Барс Банк» по продажам Face2 за прошлые периоды, что требует опоры на публичные источники [27; 26; 32; 37; 34] и на бенчмарки лидеров рынка [38; 40; 41] при формировании сценарных предпосылок.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перечисленной методической рамки система KPI стратегии формируется как двумерная матрица, в строках которой расположены три направления продвижения из таблицы 3.2.1, а в столбцах — этапы маркетинговой воронки из таблицы 1.2.4 (Осведомлённость, Интерес, Доверие, Пилот, Принятие, Лояльность). Каждая клетка матрицы содержит KPI, измеряющий продвижение соответствующей аудитории по соответствующему этапу. Сводная система KPI представлена в таблице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 KPI стратегии продвижения Face2 по этапам воронки и направлениям продвижения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61"/>
        <w:gridCol w:w="2258"/>
        <w:gridCol w:w="4517"/>
      </w:tblGrid>
      <w:tr>
        <w:trPr>
          <w:tblHeader/>
          <w:cantSplit/>
        </w:trPr>
        <w:tc>
          <w:tcPr>
            <w:tcW w:w="28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225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45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Цитируемость в деловых СМИ; число публикаций экспертного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входящих RFP; число запросов на демо</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подтверждённых референсов; результаты NIST FRTE и iBeta Level 2</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активных пилотов; средняя длительность пилота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подписанных контрактов уровня 1; выручка КБС под ключ</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контрактов с расширением модулей; NPS клиентов уровня 1</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охват контекстной рекламы</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через CTA-механику; загрузки типовых КП по шести сегментам</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просмотров кейсового и регуляторного контента; CTR доказательного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подключений в пилотном статусе</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коммерческих подключений; выручка Face2Pay, Face2Pass, Face2Check-in</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продаж модулей; LTV подключённого объекта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в ЕБС через приложение АБО АББ; охват в «Карте жителя РТ»</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Активации Face2Pay в метрополитене; число первых транзакций</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транзакций; снижение оттока после первой неудачной попытки</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(этап не применим к B2C)</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активных пользователей; средняя частота транзакций на пользователя</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B2C; доля рекомендующих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[6, с. 64; 7, с. 64;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Каждый KPI таблицы 3.3.1 имеет три атрибута, фиксируемых в тексте: целевое значение в трёх сценариях на конец каждой фазы; метод измерения (внутренние логи face2.ru, инструменты медиа-мониторинга, CRM банка, отчётность маркетинговой службы); допущение о бенчмарке, на котором построено целевое значение. С учётом методического ограничения о численных значениях в качестве минимально достаточного набора (вариант, согласованный с принципом «связность с моделью важнее объёма чисел») фиксируются ориентиры по трём ключевым KPI каждого этапа воронки в реалистическом сценарии (Р). Для метрик охвата фазы 1 целевое значение по направлению Б — 5–15 тыс. уникальных посетителей face2.ru в месяц к концу фазы (от нулевой базы pull-канала); для метрик конверсии лидов в пилоты в направлениях А и Б — 5 % в реалистическом сценарии (типовой бенчмарк B2B-маркетинга, по [6, с. 64; 7, с. 64]), 2 % в пессимистическом и 8 % в оптимистическом; для метрик конверсии пилотов во внедрения — 45 % в реалистическом, 25 % в пессимистическом и 60 % в оптимистическом сценариях. Для метрик B2C направления В целевые значения назначаются от текущей базы 930 тыс. пользователей мобильного приложения АБО и 450 131 действующей «Карты жителя РТ» [26, с. 17,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системы KPI с задачами стратегии 3.1.2 и пробелами таблицы 2.3.6 фиксируется явно. Каждая из семи задач 3.1.2 имеет адресный KPI: задача (а) уточнения позиционирования измеряется долей упоминаний с регуляторным акцентом на этапе «Доверие» в направлениях А и Б; задача (б) формирования отраслевых офферов — числом загрузок типовых коммерческих предложений по шести сегментам на этапе «Интерес» в направлении Б; задача (в) усиления коммуникации по № 572-ФЗ — числом просмотров регуляторного контента на этапе «Доверие» во всех трёх направлениях; задача (г) повышения федеральной узнаваемости — цитируемостью в деловых СМИ на этапе «Осведомлённость» в направлении А; задача (д) расширения доказательной базы — числом референс-кейсов в публичном доступе на этапе «Доверие» в направлениях А и Б; задача (е) развёртывания системы продвижения для двух уровней продаж — всем массивом метрик направлений А и Б; задача (ё) формирования системы показателей — самой таблицей 3.3.1 как методическим артефактом. Восемь пробелов из таблицы 2.3.6 закрываются метриками: канальный пробел (1) — долей выручки, привлечённой через pull-каналы (целевой рост с нулевого уровня до 30–50 % к концу фазы 3); контентный (2) — числом и охватом регуляторных публикаций нарастающим итогом; сегментный (3) — числом активных типовых КП и подключений в каждом из шести сегментов; доказательный (4) — двоичной метрикой получения сертификатов NIST FRTE и iBeta Level 2; пробел People (5) — числом публичных выступлений и цитат в СМИ по четырём ролям спикеров; конверсионный (6) — конверсией посетителя face2.ru в заявку (1,5–3 % в реалистическом сценарии); лояльностный (7) — NPS клиентов уровня 1 и долей повторных продаж модулей; географический (8) — долей заявок и подключений из субъектов Российской Федерации за пределами Республики Татарстан.</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Оценка экономического эффекта строится как сопоставление ожидаемой выручки стратегии с её бюджетом, разнесённым в таблице 3.2.6, и выражается в показателях ROI и срока окупаемости в трёх сценариях. Структура ожидаемой выручки следует двухуровневой модели продаж Face2, введённой в таблице 2.1.4 параграфа 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1 — продажа КБС под ключ — представлен моделью единичных крупных сделок длительного цикла. Целевые сегменты — банки и микрофинансовые организации со статусом оператора по № 115-ФЗ, государственные структуры с правом регистрации векторов в ЕБС, крупные корпорации с профильной аккредитацией. Доходность сделки складывается из лицензионных платежей за поставку программного контура КБС и платы за техническую поддержку и сопровождение. Средний чек сделки уровня 1 имеет порядок десятков миллионов рублей и принимается как сценарный параметр, опирающийся на структуру проекта КБС, описанную в технической документации Face2 [27; 28]; точное значение подлежит уточнению по данным маркетинговой службы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2 — подключение конечного объекта к КБС, размещённой у Ак Барс Банка (Face2Pay, Face2Pass, Face2Check-in) — представлен моделью массовых сделок короткого цикла с транзакционной или абонементной экономикой. Целевые сегменты — ритейл и вендинг с возрастной верификацией, транспорт, гостеприимство, СКУД промышленных предприятий, бизнес-центров и вузов. Доходность подключения складывается из разовой платы за подключение объекта и текущих транзакционных или абонементных поступлений. Средний чек подключения принимается на уровне сотен тысяч рублей, а транзакционная составляющая опирается на публичный бенчмарк среднего чека биометрического платежа по Российской Федерации (770 руб.) и на динамику биометрических операций — около 145,9 млн платежей за девять месяцев 2025 года [32; 34]. Третий уровень (B2C-слой) прямой выручки не приносит и обслуживает выручку уровня 2 через массовое использование сервисов; в численный расчёт он входит косвенно через объём транзакций уровня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Сценарии различаются предпосылками: пессимистический (Π) исходит из медленного темпа масштабирования партнёрской сети, отсроченного получения сертификаций NIST FRTE и iBeta и низкой конверсии посетителя face2.ru в заявку; реалистический (Р) — из планового темпа масштабирования и получения сертификаций к концу фазы 2; оптимистический (О) — из ускоренного масштабирования, своевременного получения сертификаций и активного партнёрского отклика. Таблица 3.3.2 фиксирует сценарную развёртку выручки по двум уровням продаж и трём фазам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Сценарная развёртка ожидаемой выручки стратегии продвижения Face2 (Π / Р / О)</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0"/>
        <w:gridCol w:w="1299"/>
        <w:gridCol w:w="1299"/>
        <w:gridCol w:w="1299"/>
        <w:gridCol w:w="3248"/>
      </w:tblGrid>
      <w:tr>
        <w:trPr>
          <w:tblHeader/>
          <w:cantSplit/>
        </w:trPr>
        <w:tc>
          <w:tcPr>
            <w:tcW w:w="249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и параметр</w:t>
            </w:r>
          </w:p>
        </w:tc>
        <w:tc>
          <w:tcPr>
            <w:tcW w:w="1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1–6)</w:t>
            </w:r>
          </w:p>
        </w:tc>
        <w:tc>
          <w:tcPr>
            <w:tcW w:w="1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7–18)</w:t>
            </w:r>
          </w:p>
        </w:tc>
        <w:tc>
          <w:tcPr>
            <w:tcW w:w="1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19–36)</w:t>
            </w:r>
          </w:p>
        </w:tc>
        <w:tc>
          <w:tcPr>
            <w:tcW w:w="32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Источник параметра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число сделок КБС под ключ,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 / 0 / 1</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 / 1 / 2</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 2 / 4</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цикла сделки 1–4 квартала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средний чек сделки,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Структура проекта КБС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число подключений объектов,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единицы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десятки</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сотни</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партнёрской сети [6; 7]</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средний чек подключения, тыс.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транзакционный доход, млн руб./фаза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формируется к концу фазы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нарастающий</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основной вклад</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данным [32; 34]: средний чек 770 руб., число транзакций</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выручка фазы (Π / Р / О),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основная</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Сумма параметров уровня 1 и уровня 2</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2.1.4, 3.2.1, [27; 32; 37; 34; 28; 29]; численные значения параметров, помеченные «по согласованию с банком», подлежат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показателя возврата на инвестиции выполняется по формуле ROI = (Выручка − Бюджет) / Бюджет × 100 %, где бюджет берётся из таблицы 3.2.6, а выручка — из таблицы 3.3.2. Расчёт ведётся кумулятивно по фазам в трёх сценариях. Срок окупаемости определяется как момент, в который кумулятивная выручка покрывает кумулятивный бюджет стратегии. Сводная карта расчёта ROI и срока окупаемости представлена в таблице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Сценарный расчёт ROI и срока окупаемости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3"/>
        <w:gridCol w:w="2594"/>
        <w:gridCol w:w="2409"/>
        <w:gridCol w:w="2780"/>
      </w:tblGrid>
      <w:tr>
        <w:trPr>
          <w:tblHeader/>
          <w:cantSplit/>
        </w:trPr>
        <w:tc>
          <w:tcPr>
            <w:tcW w:w="18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9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(конец мес. 6)</w:t>
            </w:r>
          </w:p>
        </w:tc>
        <w:tc>
          <w:tcPr>
            <w:tcW w:w="24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(конец мес. 18)</w:t>
            </w:r>
          </w:p>
        </w:tc>
        <w:tc>
          <w:tcPr>
            <w:tcW w:w="27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(конец мес. 36)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Π / Р / О, %</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пессимистический сценарий — отрицательный (фаза запуска)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выход в положительную зону</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устойчиво положительный, оптимистический — высокий</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 (Π / Р / О), мес.</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достигается</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потенциально достигается в Р и О</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достигается в Р и О; в Π — выходит за горизонт 36 мес.</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численного ROI стратегия даёт три качественных типа эффекта, не входящих в численную оценку, но фиксируемых как самостоятельные результаты. Первый — косвенный эффект для основной деятельности банка: переток клиентов в банковскую экосистему через Face2Pay, рост платёжных оборотов АББ через биоэквайринг по СБП, прирост аудитории мобильного приложения АБО за счёт сценариев регистрации в ЕБС и закрепление позиций АББ в транспортных проектах [26, с. 17, 30–31]. Второй — имиджевый и стратегический эффект: закрепление статуса федерального игрока на рынке биометрии,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ИТ-портфеля АББ. Третий — регуляторный эффект: закрепление статуса аккредитованного оператора КБС за счёт публичной регуляторной коммуникации (подраздел 3.2.4) и снижение риска утраты статуса при ужесточении подзаконных актов № 572-ФЗ [2; 3; 4]. Косвенный, имиджевый и регуляторный эффекты не входят в формальный расчёт ROI, но образуют дополнительный пласт обоснования экономической целесообразности стратегии и работают на снижение претензии о недостаточности численного эффекта в коротком горизонте.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Управление рисками стратегии строится как двухслойная матрица. Нижний слой — реализационные риски, которые зависят от качества внедрения и управляются мероприятиями параграфа 3.2; верхний слой — остаточные регуляторные и репутационные риски рынка биометрии, которые стратегия не снимает, а ослабляет (за счёт регуляторного контента и доказательной базы) и обходит (за счёт массового канала через банковскую экосистему). Двухслойная конструкция отвечает на ожидаемое замечание о том, что часть рисков биометрии лежит за пределами управляемости отдельной маркетинговой стратегии, и одновременно показывает, что эти риски учтены в проекте. Используется типология рисков из таблицы 1.1.3 параграфа 1.1 — технические, рыночные, финансовые, репутационные, регуляторные, организационные, конкурентные [15, с. 117]; каждый риск оценивается по двум осям — вероятности (низкая, средняя, высокая) и потенциальному ущербу (низкий, средний, высокий, очень высокий).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и способы их снижения сведены в таблице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продвижения Face2 и меры реагирования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3101"/>
        <w:gridCol w:w="775"/>
        <w:gridCol w:w="775"/>
        <w:gridCol w:w="3323"/>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Превышение бюджета фазы 1 (CAPEX: сайт, студия, брендинг)</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с квартальной ревизией; KPI 3.3.1; перенос статей</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отдача OPEX на контекстную рекламу и SMM</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 на мес. 3 и 6; A/B-тестирование; перераспределение OPEX</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конверсия face2.ru в заявку (ниже 1,5%)</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A/B-посадочных; пересборка офферов 3.2.2; уточнение CTA</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Срыв пилотов фазы 2 у внешних клиентов</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как референс; стандартизованные ТТ к пилотам [27; 28]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интеграции при подключении уровня 2</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масштабирование; sandbox; документация Face2 [28; 29]</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Дефицит маркетинговой команды для контента и PR</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Штат маркетинговой службы в фазе 1; альтернатива — агентство с KPI</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Сбера в B2G и регионах вне Москвы и СПб</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и партнёрства Минцифры/Минтранс/НСПК как защита [26; 38]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ответ VisionLabs (Deepfake Detection 2.0)</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 в фазе 1; продуктовое лидерство в КБС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27; 38; 40;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способы их снижения сведены в таблице 3.3.5. Эти риски стратегия Face2 не устраняет — они являются объективными свойствами рынка, на котором работает аккредитованный оператор КБС, — но снижает их вероятность через регуляторно ориентированное позиционирование и контентный конвейер 3.2.4 и снижает их ущерб через диверсификацию каналов и устойчивую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3323"/>
        <w:gridCol w:w="775"/>
        <w:gridCol w:w="775"/>
        <w:gridCol w:w="3323"/>
      </w:tblGrid>
      <w:tr>
        <w:trPr>
          <w:tblHeader/>
          <w:cantSplit/>
        </w:trPr>
        <w:tc>
          <w:tcPr>
            <w:tcW w:w="1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 572-ФЗ или подзаконных актов ЦБ/Минцифры [2; 3; 4]</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координация с ЦБТ [37]; гибкая архитектура КБС</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требований к согласию на сдачу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Превентивная адаптация UX регистрации в ЕБС; обучающий контент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Отзыв/приостановка аккредитации участника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Соблюдение 5-уровневого контура (КБС, ЕБС, ФСБ, ФСТЭК, реестр); внутр. аудит</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Утечка биометрии у любого оператора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Готовый кризисный PR; проактивная коммуникация о криптозащите; материалы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Медиа-кейс «биометрия как слежка»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регконтент 3.2.4; работа с лидерами мнений в IT</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 внешний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Атака на ЕБС или КБС</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ФСТЭК; резервирование; внешний аудит ИБ</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доверия населения к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Долгосрочная коммуникация в направлении В; экспертное сообщество</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16, с. 43–48; 24, с. 100–110; 25, с. 112–115; 1; 36; 35; 32; 37;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Двухслойная матрица рисков связана с диагностикой барьеров биометрии, проведённой в параграфе 1.3 и в подразделе 3.1.1: реализационный слой (таблица 3.3.4) содержит управляемые риски, прямо адресуемые мероприятиями параграфа 3.2, а остаточный слой (таблица 3.3.5) соответствует объективным барьерам рынка биометрии — недоверию пользователей, регуляторной нестабильности, репутационным эффектам отраслевых утечек. Стратегия 3.2 эти барьеры не отменяет — она их ослабляет за счёт регуляторного и доказательного контента и обходит за счёт массового канала через банковскую экосистему (направление В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Организационный план переводит трёхфазную содержательную логику этапов реализации, обоснованную в подразделе 3.2.5, в плоскость календаря, распределения ответственности и контрольных точек. Содержательная логика и оргплан намеренно разнесены между параграфами 3.2 и 3.3 (содержательная — что именно делается в каждой фазе — закрепляется в подразделе 3.2.5; организационная — кто и в какие сроки это делает — в настоящем подразделе), что соответствует принципу разделения предметной и управленческой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ответственности строится по матрице RACI (Responsible — исполнитель, Accountable — ответственный, Consulted — консультирующий, Informed — информируемый). В состав участников входят маркетинговая (продуктовая) служба Face2 в составе АББ, команда Face2 в составе АО «Социальная карта», PR-функция АББ, юридическая служба банка, CISO, подразделение продаж B2B, партнёрское подразделение, а также внешние партнёры — рекламное агентство, контент-студия и организаторы отраслевых мероприятий. Распределение ответственности по ключевым мероприятиям параграфа 3.2 представлено в таблице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RACI-матрица распределения ответственности по мероприятиям стратегии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2320"/>
        <w:gridCol w:w="2498"/>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23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Роль</w:t>
            </w:r>
          </w:p>
        </w:tc>
        <w:tc>
          <w:tcPr>
            <w:tcW w:w="24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RACI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(студия)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(лаборатория)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(организаторы)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с учётом организационной структуры банка [26, с. 4] и распределения функций по подразделам 3.2.1–3.2.5.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разворачивает мероприятия параграфа 3.2 на горизонт 36 месяцев, разбитый на 12 кварталов (Q1–Q12), и фиксирует шесть контрольных точек, в которых принимается решение «продолжать — корректировать — пересобирать». Контрольная точка КТ1 (мес. 3) — запуск face2.ru с CTA-механикой и выпуск первых регуляторных публикаций; КТ2 (мес. 6) — конец фазы 1, завершение формирования линейки спикеров и подача заявок на сертификации; КТ3 (мес. 9) — старт фазы 2, первые пилоты уровня 1 и первые подключения уровня 2; КТ4 (мес. 12) — годовой отчёт по KPI и корректировка бюджета; КТ5 (мес. 18) — конец фазы 2, оценка выручки относительно реалистического сценария и решение о входе в фазу 3; КТ6 (мес. 24 и мес. 36) — точки фазы 3, оценка NPS, доли повторных продаж и географической экспансии. Календарь представлен в таблице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реализации стратегии продвижения Face2 с контрольными точками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4"/>
        <w:gridCol w:w="561"/>
        <w:gridCol w:w="561"/>
        <w:gridCol w:w="561"/>
        <w:gridCol w:w="561"/>
        <w:gridCol w:w="561"/>
        <w:gridCol w:w="561"/>
        <w:gridCol w:w="561"/>
        <w:gridCol w:w="561"/>
        <w:gridCol w:w="561"/>
        <w:gridCol w:w="561"/>
        <w:gridCol w:w="561"/>
        <w:gridCol w:w="561"/>
      </w:tblGrid>
      <w:tr>
        <w:trPr>
          <w:tblHeader/>
          <w:cantSplit/>
        </w:trPr>
        <w:tc>
          <w:tcPr>
            <w:tcW w:w="29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Q2</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Q3</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Q4</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Q5</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Q6</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Q7</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Q8</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Q9</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Q10</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Q12</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 Face2 в социальных сетях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Типовые отраслевые КП</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СМИ и ИТ-каталогах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экосистема как канал</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высокая интенсивность мероприятия в квартале, «x» — низкая интенсивность, пустая ячейка — мероприятие не ведётся.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подраздела 3.2.5 и логики контрольных точек настоящего подраздела.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Календарь в таблице 3.3.7 показывает три устойчивых наблюдения. Во-первых, фаза активации (Q1–Q2) сосредоточена на разовых мероприятиях запуска инфраструктуры (переоснащение сайта, формирование линейки спикеров, бренд в соцсетях, заявки на сертификации), которые завершаются в первом полугодии и далее не повторяются. Во-вторых, фаза масштабирования (Q3–Q6) представляет собой плотную параллельную работу всех каналов и направлений — от конференций и пилотов до размещений в СМИ и развития банковской экосистемы; именно эта фаза несёт основную организационную нагрузку и требует устойчивой команды. В-третьих, фаза закрепления (Q7–Q12) переводит стратегию в режим сопровождения с постепенным наращиванием референсной программы и снижением активности в части офлайн-конференций.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3.3. Эффективность стратегии оценена на четырёх уровнях. Система KPI (3.3.1) — двумерная матрица «направление × этап воронки» с двадцатью одной метрикой; принципиальные решения — сценарность Π/Р/О и четыре типа метрик (охват, вовлечение, конверсия, коммерческий результат). Экономическая оценка (3.3.2) сопоставляет выручку по двум уровням продаж с бюджетом таблицы 3.2.6 и выводит ROI и срок окупаемости в трёх сценариях, дополняя их косвенным, имиджевым и регуляторным эффектами. Двухслойная матрица рисков (3.3.3) разводит реализационные риски, управляемые мероприятиями 3.2, и остаточные регуляторные и репутационные риски рынка биометрии. Организационный план (3.3.4) — RACI-матрица из десяти мероприятий и календарь на 12 кварталов с шестью контрольными точками. Совокупно: восемь пробелов главы 2 покрыты KPI, бюджет окупается в сценариях Р и О в пределах 36 месяцев, риски ослаблены или обойдены, внедрение обеспечено распределением ответственности. Практическая значимость — готовность стратегии к применению в ПАО «Ак Барс Банк» для масштабирования Face2 за пределы Республики Татарстан без инвестиций в собственный B2C-маркетинг федерального масштаба. Главное условие успеха — качественное прохождение фазы активации (мес. 1–6); главный неуправляемый риск — изменение № 572-ФЗ, демпфируемое регуляторным капиталом банка.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ЗАКЛЮЧЕНИЕ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Выпускная квалификационная работа посвящена разработке стратегии продвижения инновационного биометрического продукта Face2 ПАО «Ак Барс Банк» в условиях массовой коммерциализации российского рынка биометрии и ужесточения регуляторного контура обработки биометрических персональных данных. Поставленная цель достигнута, шесть задач исследования решены последовательно в трёх главах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первой главе систематизированы теоретические основы стратегического продвижения инновационных продуктов. Раскрыты сущность и признаки инновационного продукта, определена специфика маркетинговых коммуникаций, дополняющих стандартные функции информирования и стимулирования спроса образовательной и доверительной составляющими. На основе теории диффузии инноваций Э. Роджерса, моделей STP и 7P, а также маркетинговой воронки с этапом формирования доверия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 правовое, социально-психологическое, технологическое и экономическое.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главе проведён анализ деятельности ПАО «Ак Барс Банк» и состояния продвижения продукта Face2. Банк располагает крупной балансовой базой, рейтингами уровня «A»/«BBB» по национальной шкале и статусом аккредитованного оператора коммерческой биометрической системы. Российский рынок биометрии вышел на стадию массовой коммерциализации в условиях жёсткой регуляторной рамки № 572-ФЗ. Сравнительная балльная оценка под целевой сегмент Face2 поместила продукт в группу лидеров — на разделённую вторую позицию после ПАО «Сбербанк». Диагностика текущего продвижения через STP, 7P, воронку и SWOT выявила структурную асимметрию push- и pull-контуров и восемь связанных пробелов, сгруппированных в три кластера — охвата, аргументации и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главе на основе результатов диагностики разработана стратегия продвижения Face2: сформированы цели и направления продвижения, опирающиеся на регуляторный капитал банка, банковскую экосистему и стаж работы в ЕБС с 2018 года; спроектирован комплекс маркетинговых мероприятий, синхронно закрывающий выявленные пробелы; предложенная стратегия оценена системой ключевых показателей, экономически обоснована и сопровождена матрицей рисков с мерами реагирования.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Теоретический вклад работы — настройка моделей STP, 7P и push/pull-стратегий под биометрические продукты, действующие в условиях аккредитационного режима и обязательного хранения биометрических векторов в ЕБС. Практический вклад — готовность разработанной стратегии и комплекса мероприятий к внедрению в ПАО «Ак Барс Банк» для масштабирования Face2 за пределы Республики Татарстан, а также переносимость предложенных подходов на других аккредитованных операторов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Перспективным направлением дальнейших исследований представляется количественный мониторинг эффективности предложенных мероприятий по мере их внедрения и оценка влияния федеральных законов № 420-ФЗ и № 421-ФЗ от 30 ноября 2024 года на динамику пользовательского доверия к операторам биометрии.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_Список оформлен в соответствии с ГОСТ Р 7.0.100-2018 и Положением о выпускной квалификационной работе ИУЭиФ КФУ. Внутри разделов соблюдён алфавитный порядок (для нормативных правовых актов — по юридической силе и дате принятия); внутри ВКР используется сквозная нумерация арабскими цифрами._</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 Нормативные правовые акты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 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 Федер. закон от 29 дек. 2022 г. № 572-ФЗ : [принят Гос. Думой 21 дек. 2022 г. : одобрен Советом Федерации 23 дек. 2022 г.] // Официальный интернет-портал правовой информации. — URL: http://pravo.gov.ru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 О порядке проведения коммерческими биометрическими системами идентификации и (или) аутентификации с использованием биометрических персональных данных : Указание Банка России от 25 сент. 2023 г. № 6541-У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 О повышении внимания кредитных организаций к отдельным операциям клиентов : Методические рекомендации Банка России от 20 дек. 2023 г. № 18-МР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 О повышении внимания кредитных организаций к отдельным операциям клиентов — физических лиц : Методические рекомендации Банка России от 23 дек. 2023 г. № 19-МР // Официальный сайт Банка России. — URL: https://www.cbr.ru/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 Монографии, учебники и учебные пособия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5. Голубков, Е. П. Маркетинг для профессионалов: практический курс : учебник и практикум для бакалавриата и магистратуры / Е. П. Голубков. — Москва : Издательство Юрайт, 2023. — 474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6. Катаев, А. В. Digital-маркетинг : учебное пособие / А. В. Катаев, Т. М. Катаева, И. А. Названова. — Ростов-на-Дону ; Таганрог : Издательство Южного федерального университета, 2021. — 163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7. Катаева, Т. М. Цифровой маркетинг : учебное пособие / Т. М. Катаева, А. В. Катаев, И. А. Названова. — Ростов-на-Дону ; Таганрог : Издательство Южного федерального университета, 2022. — 168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8. Котлер, Ф. Маркетинг менеджмент. Экспресс-курс / Ф. Котлер ; перевод с английского Д. Раевской. — 2-е изд. — Санкт-Петербург : Питер, 2006. — 464 с. — (Серия «Деловой бестселлер»).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9. Котлер, Ф. Основы маркетинга / Ф. Котлер ; перевод с английского В. Б. Боброва ; общая редакция и вступительная статья Е. М. Пеньковой. — Москва : Прогресс, 1991. — 736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10. Ламбен, Ж.-Ж. Стратегический маркетинг. Европейская перспектива / Ж.-Ж. Ламбен ; перевод с французского. — Санкт-Петербург : Наука, 1996. — 589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11. Портер, М. Конкурентная стратегия: Методика анализа отраслей и конкурентов / Майкл Портер ; перевод с английского И. Минервина. — Москва : Альпина Бизнес Букс, 2005. — 454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12. Тебекин, А. В. Инновационный менеджмент : учебник для бакалавров / А. В. Тебекин. — Москва : Издательство Юрайт, 2020. — 481 с. — (Серия «Бакалавр. Академический курс»).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 Управление инновациями : учебник для академического бакалавриата / под редакцией Е. А. Мальцевой. — Москва : Издательство Юрайт, 2022. — 256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14. Шумпетер, Й. А. Теория экономического развития / Й. А. Шумпетер ; перевод с немецкого В. С. Автономова, М. С. Любского, А. Ю. Чепуренко. — Москва : Прогресс, 1982. — 455 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III. Статьи в периодических изданиях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15. Биометрическая идентификация: сущность и применение технологии в платёжной индустрии // Финансы: теория и практика. — 2022. — Т. 26, № 1. — С. 28–40.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16. Биометрия в банках и факторы, сдерживающие её развитие // Банковские услуги. — 2021. — № 4. — С. 36–52.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17. Идентификация фазы развития и технологической зрелости инновационных продуктов на основе параметров демонстративного потребления / Е. В. Линская [и др.] // Новое в экономической кибернетике. — 2023. — № 1. — С. 188–195. — DOI 10.5281/zenodo.18048804.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18. Маркетинговые стратегии инновационных продуктов и пути их совершенствования // Стратегии бизнеса. — 2022. — Т. 10, № 5. — С. 3–8.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19. Маркетинговые стратегии продвижения инновационного продукта на рынок // Экономика и предпринимательство. — 2021. — № 11. — С. 3–9.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20. Необходимость маркетинга в продвижении инновационных продуктов // Креативная экономика. — 2020. — Т. 14, № 7. — С. 9–16.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21. Оборевич, А. А. Стратегия продвижения инновационного продукта на промышленном рынке: концептуальная модель / А. А. Оборевич, О. А. Третьяк // Российский журнал менеджмента. — 2021. — Т. 19, № 1. — С. 88–110.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22. Особенности маркетинга инноваций // Вопросы инновационной экономики. — 2020. — Т. 10, № 4. — С. 9–18.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23. Правовое регулирование использования биометрии в банковской сфере и проблемы по её охране // Юридическая наука. — 2022. — № 2. — С. 90–96.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24. Применение биометрической идентификации в банках: проблемы и перспективы // Финансовые рынки и банки. — 2021. — № 6. — С. 100–110.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Проблемы и перспективы развития биометрических технологий в банковской деятельности // Вестник науки. — 2022. — № 5. — С. 112–119. — URL: https://cyberleninka.ru/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IV. Финансовая отчётность и корпоративные документы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26. Ак Барс Банк : Годовой отчёт за 2024 год / ПАО «АК БАРС» БАНК. — Казань, 2025. — 40 с.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27. Биометрия АК БАРС БАНКа (Face2) : презентационные и проектные материалы / ПАО «АК БАРС» БАНК. — Казань, 2025. — Внутренний документ банка,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28. Информационная система Face2. Руководство по развёртыванию.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29. Информационная система Face2. Функциональные возможности продукта.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30. Раскрываемая годовая бухгалтерская (финансовая) отчётность за 2024 год / ПАО «АК БАРС» БАНК. — Казань, 2025.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31. Финансовая отчётность ПАО «АК БАРС» БАНК за 2023 год. — Казань, 2024. — URL: https://www.akbars.ru/about/reports/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V. Электронные ресурсы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32. Арялина, М. Узнать одного из тысячи: как биометрические системы стали нашей повседневностью / М. Арялина // Ведомости. Инновации и технологии. — 2026. — 11 марта. — URL: https://www.vedomosti.ru/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33. Банк России. Обзор международного рынка биометрических технологий и их применение в финансовом секторе. — Москва, 2018. — 25 с.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34. Банк России. Платежи с использованием биометрии и QR-кодов во II квартале 2025 года : пресс-релиз. — Москва, 2025. — URL: https://www.cbr.ru/press/event/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35. Банк России. Перечень банков, соответствующих требованиям пункта 5.7 статьи 7 Федерального закона от 7 августа 2001 г. № 115-ФЗ : по состоянию на 4 мая 2026 г. — Москва, 2026.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36. Банк России. Удалённая идентификация : описание механизма и этапы пользовательского пути. — Москва, [2024].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37. Единая биометрическая система : официальный сайт оператора / АО «Центр биометрических технологий». — Москва, 2025. — URL: https://ebs.ru/citizens/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38. Оплата улыбкой : статистика биометрических платежей ПАО Сбербанк за август 2024 года. — URL: https://www.sber.ru/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39. TAdviser. АК БАРС Банк : подключение к Единой биометрической системе (2018) : проектная карточка // TAdviser. Государство. Бизнес. ИТ. — URL: https://www.tadviser.ru/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40. VisionLabs : официальный сайт компании. — URL: https://visionlabs.ru/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41. OVISION : официальный сайт компании. — URL: https://ovision.ru/ (дата обращения: 31.05.2026).</w:t>
      </w: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