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2.3.6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w:t>
      </w:r>
      <w:r>
        <w:rPr>
          <w:rFonts w:ascii="Times New Roman" w:hAnsi="Times New Roman" w:cs="Times New Roman" w:eastAsia="Times New Roman"/>
          <w:i/>
          <w:iCs/>
          <w:color w:val="000000"/>
          <w:sz w:val="28"/>
          <w:szCs w:val="28"/>
          <w:lang w:val="ru-RU"/>
        </w:rPr>
        <w:t xml:space="preserve">что исправляем</w:t>
      </w:r>
      <w:r>
        <w:rPr>
          <w:rFonts w:ascii="Times New Roman" w:hAnsi="Times New Roman" w:cs="Times New Roman" w:eastAsia="Times New Roman"/>
          <w:color w:val="000000"/>
          <w:sz w:val="28"/>
          <w:szCs w:val="28"/>
          <w:lang w:val="ru-RU"/>
        </w:rPr>
        <w:t xml:space="preserve">: это три кластера пробелов (охват, аргументация, инфраструктура воронки), к которым сведены все восемь пробелов таблицы 2.3.6. Вторая ось —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w:t>
      </w:r>
      <w:r>
        <w:rPr>
          <w:rFonts w:ascii="Times New Roman" w:hAnsi="Times New Roman" w:cs="Times New Roman" w:eastAsia="Times New Roman"/>
          <w:b/>
          <w:bCs/>
          <w:color w:val="000000"/>
          <w:sz w:val="28"/>
          <w:szCs w:val="28"/>
          <w:lang w:val="ru-RU"/>
        </w:rPr>
        <w:t xml:space="preserve">пробел → кластер → направление → мероприятие → показатель</w:t>
      </w: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вместе они закрывают все три кластера пробелов таблицы 2.3.6.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значений всех ключевых KPI — от базового уровня 2025 года к целевому уровню 2027–2028 годов в реалистическом сценарии — вместе с тремя качественными эффектами стратегии вынесен в итоговую таблицу 3.3.8,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2027 и 2028 годам.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3.3.8: она собирает в одном месте ключевые KPI всех четырёх типов (охват, вовлечение, конверсия, коммерческий результат), показывая по каждому показателю базовый уровень 2025 года и целевой уровень 2027–2028 годов в реалистическом сценарии (Р), а также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ключевых показателей и эффектов стратегии продвижения Face2: базовый уровень 2025 года и целевой уровень 2027–2028 годов (реалистический сценарий)</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2"/>
        <w:gridCol w:w="2920"/>
        <w:gridCol w:w="1168"/>
        <w:gridCol w:w="1362"/>
        <w:gridCol w:w="1265"/>
        <w:gridCol w:w="1557"/>
      </w:tblGrid>
      <w:tr>
        <w:trPr>
          <w:tblHeader/>
          <w:cantSplit/>
        </w:trPr>
        <w:tc>
          <w:tcPr>
            <w:tcW w:w="13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16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Базовый уровень (2025)</w:t>
            </w:r>
          </w:p>
        </w:tc>
        <w:tc>
          <w:tcPr>
            <w:tcW w:w="13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Промежуточный ориентир (2027)</w:t>
            </w:r>
          </w:p>
        </w:tc>
        <w:tc>
          <w:tcPr>
            <w:tcW w:w="12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уровень (2028)</w:t>
            </w:r>
          </w:p>
        </w:tc>
        <w:tc>
          <w:tcPr>
            <w:tcW w:w="15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7-й мес.)</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частичный</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частичный</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1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2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Базовый уровень соответствует состоянию продукта на 2025 год, целевой — горизонту 2028 года при старте реализации в 2026 году; промежуточный ориентир 2027 года отвечает завершению фазы масштабирования. Числовые значения являются оценочными (нормативно-ориентировочными) расчётными допущениями автора и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 переводит ранее описанную качественно систему показателей в измеримую форму: по каждой из четырёх групп KPI зафиксированы базовый уровень 2025 года, промежуточный ориентир 2027 года и целевой уровень 2028 года, а три качественных эффекта получили целевой статус на горизонте 2028 года. Тем самым продвижение Face2 становится управляемым по контрольным точкам календаря (таблица 3.3.7): фактические значения ежегодно сопоставляются с ориентирами таблицы 3.3.8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значения от базового уровня 2025 года к целевому уровню 2027–2028 годов и три качественных эффекта собраны в итоговой таблице 3.3.8.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