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1F46CF" w:rsidRPr="00856AE3" w:rsidRDefault="00000000" w:rsidP="00856AE3">
      <w:pPr>
        <w:pStyle w:val="Heading1"/>
        <w:rPr>
          <w:rFonts w:eastAsia="Arial"/>
        </w:rPr>
      </w:pPr>
      <w:bookmarkStart w:id="0" w:name="_87rkasrywxfq" w:colFirst="0" w:colLast="0"/>
      <w:bookmarkEnd w:id="0"/>
      <w:r>
        <w:rPr>
          <w:rFonts w:eastAsia="Arial"/>
        </w:rPr>
        <w:t>Privacy Statement:</w:t>
      </w:r>
    </w:p>
    <w:p w14:paraId="00000002" w14:textId="77777777" w:rsidR="001F46CF" w:rsidRPr="00856AE3" w:rsidRDefault="00000000" w:rsidP="00856AE3">
      <w:pPr>
        <w:pStyle w:val="Heading2"/>
        <w:rPr>
          <w:rFonts w:eastAsia="Arial"/>
        </w:rPr>
      </w:pPr>
      <w:bookmarkStart w:id="1" w:name="_68we4q2gqi8y" w:colFirst="0" w:colLast="0"/>
      <w:bookmarkEnd w:id="1"/>
      <w:r>
        <w:rPr>
          <w:rFonts w:eastAsia="Arial"/>
        </w:rPr>
        <w:t>Data Privacy Policy</w:t>
      </w:r>
    </w:p>
    <w:p w14:paraId="00000003" w14:textId="77777777" w:rsidR="001F46CF" w:rsidRDefault="00000000">
      <w:pPr>
        <w:widowControl w:val="0"/>
        <w:rPr>
          <w:rFonts w:ascii="Arial" w:eastAsia="Arial" w:hAnsi="Arial" w:cs="Arial"/>
          <w:sz w:val="22"/>
          <w:szCs w:val="22"/>
        </w:rPr>
      </w:pPr>
      <w:r>
        <w:rPr>
          <w:rFonts w:ascii="Arial" w:eastAsia="Arial" w:hAnsi="Arial" w:cs="Arial"/>
          <w:sz w:val="22"/>
          <w:szCs w:val="22"/>
        </w:rPr>
        <w:t xml:space="preserve">The SCOTi AI </w:t>
      </w:r>
      <w:proofErr w:type="spellStart"/>
      <w:r>
        <w:rPr>
          <w:rFonts w:ascii="Arial" w:eastAsia="Arial" w:hAnsi="Arial" w:cs="Arial"/>
          <w:sz w:val="22"/>
          <w:szCs w:val="22"/>
        </w:rPr>
        <w:t>SandBox</w:t>
      </w:r>
      <w:proofErr w:type="spellEnd"/>
      <w:r>
        <w:rPr>
          <w:rFonts w:ascii="Arial" w:eastAsia="Arial" w:hAnsi="Arial" w:cs="Arial"/>
          <w:sz w:val="22"/>
          <w:szCs w:val="22"/>
        </w:rPr>
        <w:t xml:space="preserve"> </w:t>
      </w:r>
      <w:proofErr w:type="gramStart"/>
      <w:r>
        <w:rPr>
          <w:rFonts w:ascii="Arial" w:eastAsia="Arial" w:hAnsi="Arial" w:cs="Arial"/>
          <w:sz w:val="22"/>
          <w:szCs w:val="22"/>
        </w:rPr>
        <w:t>website  &gt;</w:t>
      </w:r>
      <w:proofErr w:type="gramEnd"/>
      <w:r>
        <w:rPr>
          <w:rFonts w:ascii="Arial" w:eastAsia="Arial" w:hAnsi="Arial" w:cs="Arial"/>
          <w:sz w:val="22"/>
          <w:szCs w:val="22"/>
        </w:rPr>
        <w:t xml:space="preserve"> portal.scoti.au &lt; does not collect or process any personal data.</w:t>
      </w:r>
    </w:p>
    <w:p w14:paraId="00000004" w14:textId="77777777" w:rsidR="001F46CF" w:rsidRDefault="001F46CF">
      <w:pPr>
        <w:widowControl w:val="0"/>
        <w:rPr>
          <w:rFonts w:ascii="Arial" w:eastAsia="Arial" w:hAnsi="Arial" w:cs="Arial"/>
          <w:sz w:val="22"/>
          <w:szCs w:val="22"/>
        </w:rPr>
      </w:pPr>
    </w:p>
    <w:p w14:paraId="00000005" w14:textId="77777777" w:rsidR="001F46CF" w:rsidRDefault="00000000">
      <w:pPr>
        <w:widowControl w:val="0"/>
        <w:rPr>
          <w:rFonts w:ascii="Arial" w:eastAsia="Arial" w:hAnsi="Arial" w:cs="Arial"/>
          <w:sz w:val="22"/>
          <w:szCs w:val="22"/>
        </w:rPr>
      </w:pPr>
      <w:r>
        <w:rPr>
          <w:rFonts w:ascii="Arial" w:eastAsia="Arial" w:hAnsi="Arial" w:cs="Arial"/>
          <w:sz w:val="22"/>
          <w:szCs w:val="22"/>
        </w:rPr>
        <w:t>We are committed to protecting the privacy of website users. As such, we have implemented technical and organizational measures to protect data that is received.</w:t>
      </w:r>
    </w:p>
    <w:p w14:paraId="00000006" w14:textId="77777777" w:rsidR="001F46CF" w:rsidRDefault="001F46CF">
      <w:pPr>
        <w:widowControl w:val="0"/>
        <w:rPr>
          <w:rFonts w:ascii="Arial" w:eastAsia="Arial" w:hAnsi="Arial" w:cs="Arial"/>
          <w:sz w:val="22"/>
          <w:szCs w:val="22"/>
        </w:rPr>
      </w:pPr>
    </w:p>
    <w:p w14:paraId="00000007" w14:textId="77777777" w:rsidR="001F46CF" w:rsidRDefault="00000000">
      <w:pPr>
        <w:widowControl w:val="0"/>
        <w:rPr>
          <w:rFonts w:ascii="Arial" w:eastAsia="Arial" w:hAnsi="Arial" w:cs="Arial"/>
          <w:sz w:val="22"/>
          <w:szCs w:val="22"/>
        </w:rPr>
      </w:pPr>
      <w:r>
        <w:rPr>
          <w:rFonts w:ascii="Arial" w:eastAsia="Arial" w:hAnsi="Arial" w:cs="Arial"/>
          <w:sz w:val="22"/>
          <w:szCs w:val="22"/>
        </w:rPr>
        <w:t>While we do not collect any personal data, this Privacy Policy serves as a declaration of our commitment to data protection.</w:t>
      </w:r>
    </w:p>
    <w:p w14:paraId="00000008" w14:textId="77777777" w:rsidR="001F46CF" w:rsidRDefault="001F46CF">
      <w:pPr>
        <w:widowControl w:val="0"/>
        <w:rPr>
          <w:rFonts w:ascii="Arial" w:eastAsia="Arial" w:hAnsi="Arial" w:cs="Arial"/>
          <w:sz w:val="22"/>
          <w:szCs w:val="22"/>
        </w:rPr>
      </w:pPr>
    </w:p>
    <w:p w14:paraId="00000009" w14:textId="77777777" w:rsidR="001F46CF" w:rsidRDefault="00000000">
      <w:pPr>
        <w:widowControl w:val="0"/>
        <w:rPr>
          <w:rFonts w:ascii="Arial" w:eastAsia="Arial" w:hAnsi="Arial" w:cs="Arial"/>
          <w:sz w:val="22"/>
          <w:szCs w:val="22"/>
        </w:rPr>
      </w:pPr>
      <w:r>
        <w:rPr>
          <w:rFonts w:ascii="Arial" w:eastAsia="Arial" w:hAnsi="Arial" w:cs="Arial"/>
          <w:sz w:val="22"/>
          <w:szCs w:val="22"/>
        </w:rPr>
        <w:t>We understand the importance of data privacy and have taken steps to ensure that our website operations do not involve any personal data processing activities.</w:t>
      </w:r>
    </w:p>
    <w:p w14:paraId="0000000A" w14:textId="77777777" w:rsidR="001F46CF" w:rsidRDefault="001F46CF">
      <w:pPr>
        <w:widowControl w:val="0"/>
        <w:rPr>
          <w:rFonts w:ascii="Arial" w:eastAsia="Arial" w:hAnsi="Arial" w:cs="Arial"/>
          <w:sz w:val="22"/>
          <w:szCs w:val="22"/>
        </w:rPr>
      </w:pPr>
    </w:p>
    <w:p w14:paraId="0000000B" w14:textId="77777777" w:rsidR="001F46CF" w:rsidRDefault="00000000">
      <w:pPr>
        <w:widowControl w:val="0"/>
        <w:rPr>
          <w:rFonts w:ascii="Arial" w:eastAsia="Arial" w:hAnsi="Arial" w:cs="Arial"/>
          <w:sz w:val="22"/>
          <w:szCs w:val="22"/>
        </w:rPr>
      </w:pPr>
      <w:r>
        <w:rPr>
          <w:rFonts w:ascii="Arial" w:eastAsia="Arial" w:hAnsi="Arial" w:cs="Arial"/>
          <w:sz w:val="22"/>
          <w:szCs w:val="22"/>
        </w:rPr>
        <w:t xml:space="preserve">If you have any questions or concerns about our privacy practices, please contact us at </w:t>
      </w:r>
      <w:proofErr w:type="spellStart"/>
      <w:r>
        <w:rPr>
          <w:rFonts w:ascii="Arial" w:eastAsia="Arial" w:hAnsi="Arial" w:cs="Arial"/>
          <w:sz w:val="22"/>
          <w:szCs w:val="22"/>
        </w:rPr>
        <w:t>inquiry@aeq.services</w:t>
      </w:r>
      <w:proofErr w:type="spellEnd"/>
    </w:p>
    <w:p w14:paraId="0000000C" w14:textId="77777777" w:rsidR="001F46CF" w:rsidRPr="00856AE3" w:rsidRDefault="00000000" w:rsidP="00856AE3">
      <w:pPr>
        <w:pStyle w:val="Heading2"/>
        <w:rPr>
          <w:rFonts w:eastAsia="Arial"/>
        </w:rPr>
      </w:pPr>
      <w:bookmarkStart w:id="2" w:name="_6bipwskh3eq1" w:colFirst="0" w:colLast="0"/>
      <w:bookmarkEnd w:id="2"/>
      <w:r>
        <w:rPr>
          <w:rFonts w:eastAsia="Arial"/>
        </w:rPr>
        <w:t>Data Security Plan</w:t>
      </w:r>
    </w:p>
    <w:p w14:paraId="0000000D" w14:textId="77777777" w:rsidR="001F46CF" w:rsidRPr="00856AE3" w:rsidRDefault="00000000" w:rsidP="00856AE3">
      <w:pPr>
        <w:pStyle w:val="Heading3"/>
      </w:pPr>
      <w:bookmarkStart w:id="3" w:name="_gl85t493r7he" w:colFirst="0" w:colLast="0"/>
      <w:bookmarkEnd w:id="3"/>
      <w:proofErr w:type="spellStart"/>
      <w:r>
        <w:t>SandBox</w:t>
      </w:r>
      <w:proofErr w:type="spellEnd"/>
      <w:r>
        <w:t xml:space="preserve"> Trial Overview</w:t>
      </w:r>
    </w:p>
    <w:p w14:paraId="0000000E" w14:textId="77777777" w:rsidR="001F46CF" w:rsidRDefault="00000000">
      <w:pPr>
        <w:widowControl w:val="0"/>
        <w:rPr>
          <w:rFonts w:ascii="Arial" w:eastAsia="Arial" w:hAnsi="Arial" w:cs="Arial"/>
          <w:sz w:val="22"/>
          <w:szCs w:val="22"/>
        </w:rPr>
      </w:pPr>
      <w:r>
        <w:rPr>
          <w:rFonts w:ascii="Arial" w:eastAsia="Arial" w:hAnsi="Arial" w:cs="Arial"/>
          <w:sz w:val="22"/>
          <w:szCs w:val="22"/>
        </w:rPr>
        <w:t xml:space="preserve">This data security plan outlines the measures to be taken to ensure the confidentiality, integrity, and availability of the data used for the duration of the SCOTi AI </w:t>
      </w:r>
      <w:proofErr w:type="spellStart"/>
      <w:r>
        <w:rPr>
          <w:rFonts w:ascii="Arial" w:eastAsia="Arial" w:hAnsi="Arial" w:cs="Arial"/>
          <w:sz w:val="22"/>
          <w:szCs w:val="22"/>
        </w:rPr>
        <w:t>SandBox</w:t>
      </w:r>
      <w:proofErr w:type="spellEnd"/>
      <w:r>
        <w:rPr>
          <w:rFonts w:ascii="Arial" w:eastAsia="Arial" w:hAnsi="Arial" w:cs="Arial"/>
          <w:sz w:val="22"/>
          <w:szCs w:val="22"/>
        </w:rPr>
        <w:t xml:space="preserve"> trial </w:t>
      </w:r>
      <w:proofErr w:type="gramStart"/>
      <w:r>
        <w:rPr>
          <w:rFonts w:ascii="Arial" w:eastAsia="Arial" w:hAnsi="Arial" w:cs="Arial"/>
          <w:sz w:val="22"/>
          <w:szCs w:val="22"/>
        </w:rPr>
        <w:t>usage .</w:t>
      </w:r>
      <w:proofErr w:type="gramEnd"/>
      <w:r>
        <w:rPr>
          <w:rFonts w:ascii="Arial" w:eastAsia="Arial" w:hAnsi="Arial" w:cs="Arial"/>
          <w:sz w:val="22"/>
          <w:szCs w:val="22"/>
        </w:rPr>
        <w:t xml:space="preserve"> It also includes the process for securely deleting the data and handing back an archived copy of the data upon the trial's completion.</w:t>
      </w:r>
    </w:p>
    <w:p w14:paraId="0000000F" w14:textId="77777777" w:rsidR="001F46CF" w:rsidRPr="00856AE3" w:rsidRDefault="00000000" w:rsidP="00856AE3">
      <w:pPr>
        <w:pStyle w:val="Heading3"/>
      </w:pPr>
      <w:bookmarkStart w:id="4" w:name="_rf58qw28ah8i" w:colFirst="0" w:colLast="0"/>
      <w:bookmarkEnd w:id="4"/>
      <w:r>
        <w:t>Data Collection and Storage</w:t>
      </w:r>
    </w:p>
    <w:p w14:paraId="00000010" w14:textId="77777777" w:rsidR="001F46CF" w:rsidRDefault="00000000">
      <w:pPr>
        <w:widowControl w:val="0"/>
        <w:numPr>
          <w:ilvl w:val="0"/>
          <w:numId w:val="2"/>
        </w:numPr>
        <w:rPr>
          <w:rFonts w:ascii="Arial" w:eastAsia="Arial" w:hAnsi="Arial" w:cs="Arial"/>
          <w:sz w:val="22"/>
          <w:szCs w:val="22"/>
        </w:rPr>
      </w:pPr>
      <w:r>
        <w:rPr>
          <w:rFonts w:ascii="Arial" w:eastAsia="Arial" w:hAnsi="Arial" w:cs="Arial"/>
          <w:sz w:val="22"/>
          <w:szCs w:val="22"/>
          <w:u w:val="single"/>
        </w:rPr>
        <w:t xml:space="preserve">Data Storage: </w:t>
      </w:r>
      <w:r>
        <w:rPr>
          <w:rFonts w:ascii="Arial" w:eastAsia="Arial" w:hAnsi="Arial" w:cs="Arial"/>
          <w:sz w:val="22"/>
          <w:szCs w:val="22"/>
        </w:rPr>
        <w:t xml:space="preserve">The data will be stored on a secure, accessible only to the </w:t>
      </w:r>
      <w:proofErr w:type="spellStart"/>
      <w:r>
        <w:rPr>
          <w:rFonts w:ascii="Arial" w:eastAsia="Arial" w:hAnsi="Arial" w:cs="Arial"/>
          <w:sz w:val="22"/>
          <w:szCs w:val="22"/>
        </w:rPr>
        <w:t>SandBox</w:t>
      </w:r>
      <w:proofErr w:type="spellEnd"/>
      <w:r>
        <w:rPr>
          <w:rFonts w:ascii="Arial" w:eastAsia="Arial" w:hAnsi="Arial" w:cs="Arial"/>
          <w:sz w:val="22"/>
          <w:szCs w:val="22"/>
        </w:rPr>
        <w:t xml:space="preserve"> Trial’s team members.  Access to the data will be restricted. </w:t>
      </w:r>
    </w:p>
    <w:p w14:paraId="00000011" w14:textId="77777777" w:rsidR="001F46CF" w:rsidRDefault="00000000">
      <w:pPr>
        <w:widowControl w:val="0"/>
        <w:numPr>
          <w:ilvl w:val="0"/>
          <w:numId w:val="2"/>
        </w:numPr>
        <w:rPr>
          <w:rFonts w:ascii="Arial" w:eastAsia="Arial" w:hAnsi="Arial" w:cs="Arial"/>
          <w:sz w:val="22"/>
          <w:szCs w:val="22"/>
        </w:rPr>
      </w:pPr>
      <w:r>
        <w:rPr>
          <w:rFonts w:ascii="Arial" w:eastAsia="Arial" w:hAnsi="Arial" w:cs="Arial"/>
          <w:sz w:val="22"/>
          <w:szCs w:val="22"/>
          <w:u w:val="single"/>
        </w:rPr>
        <w:t>Backups:</w:t>
      </w:r>
      <w:r>
        <w:rPr>
          <w:rFonts w:ascii="Arial" w:eastAsia="Arial" w:hAnsi="Arial" w:cs="Arial"/>
          <w:sz w:val="22"/>
          <w:szCs w:val="22"/>
        </w:rPr>
        <w:t xml:space="preserve"> Any necessary backups of data will be made and stored in a secure, separate </w:t>
      </w:r>
      <w:proofErr w:type="spellStart"/>
      <w:r>
        <w:rPr>
          <w:rFonts w:ascii="Arial" w:eastAsia="Arial" w:hAnsi="Arial" w:cs="Arial"/>
          <w:sz w:val="22"/>
          <w:szCs w:val="22"/>
        </w:rPr>
        <w:t>NextCloud</w:t>
      </w:r>
      <w:proofErr w:type="spellEnd"/>
      <w:r>
        <w:rPr>
          <w:rFonts w:ascii="Arial" w:eastAsia="Arial" w:hAnsi="Arial" w:cs="Arial"/>
          <w:sz w:val="22"/>
          <w:szCs w:val="22"/>
        </w:rPr>
        <w:t xml:space="preserve"> folder location. </w:t>
      </w:r>
    </w:p>
    <w:p w14:paraId="00000012" w14:textId="77777777" w:rsidR="001F46CF" w:rsidRPr="00856AE3" w:rsidRDefault="00000000" w:rsidP="00856AE3">
      <w:pPr>
        <w:pStyle w:val="Heading3"/>
      </w:pPr>
      <w:bookmarkStart w:id="5" w:name="_afodhj2cdcs4" w:colFirst="0" w:colLast="0"/>
      <w:bookmarkEnd w:id="5"/>
      <w:r>
        <w:t>Data Access and Usage</w:t>
      </w:r>
    </w:p>
    <w:p w14:paraId="00000013" w14:textId="77777777" w:rsidR="001F46CF" w:rsidRDefault="00000000">
      <w:pPr>
        <w:widowControl w:val="0"/>
        <w:numPr>
          <w:ilvl w:val="0"/>
          <w:numId w:val="4"/>
        </w:numPr>
        <w:rPr>
          <w:rFonts w:ascii="Arial" w:eastAsia="Arial" w:hAnsi="Arial" w:cs="Arial"/>
          <w:sz w:val="22"/>
          <w:szCs w:val="22"/>
        </w:rPr>
      </w:pPr>
      <w:r>
        <w:rPr>
          <w:rFonts w:ascii="Arial" w:eastAsia="Arial" w:hAnsi="Arial" w:cs="Arial"/>
          <w:sz w:val="22"/>
          <w:szCs w:val="22"/>
          <w:u w:val="single"/>
        </w:rPr>
        <w:t>Access Control:</w:t>
      </w:r>
      <w:r>
        <w:rPr>
          <w:rFonts w:ascii="Arial" w:eastAsia="Arial" w:hAnsi="Arial" w:cs="Arial"/>
          <w:sz w:val="22"/>
          <w:szCs w:val="22"/>
        </w:rPr>
        <w:t xml:space="preserve"> Only authorized </w:t>
      </w:r>
      <w:proofErr w:type="spellStart"/>
      <w:r>
        <w:rPr>
          <w:rFonts w:ascii="Arial" w:eastAsia="Arial" w:hAnsi="Arial" w:cs="Arial"/>
          <w:sz w:val="22"/>
          <w:szCs w:val="22"/>
        </w:rPr>
        <w:t>SandBox</w:t>
      </w:r>
      <w:proofErr w:type="spellEnd"/>
      <w:r>
        <w:rPr>
          <w:rFonts w:ascii="Arial" w:eastAsia="Arial" w:hAnsi="Arial" w:cs="Arial"/>
          <w:sz w:val="22"/>
          <w:szCs w:val="22"/>
        </w:rPr>
        <w:t xml:space="preserve"> Trial team members will have access to </w:t>
      </w:r>
      <w:proofErr w:type="spellStart"/>
      <w:r>
        <w:rPr>
          <w:rFonts w:ascii="Arial" w:eastAsia="Arial" w:hAnsi="Arial" w:cs="Arial"/>
          <w:sz w:val="22"/>
          <w:szCs w:val="22"/>
        </w:rPr>
        <w:t>SandBox</w:t>
      </w:r>
      <w:proofErr w:type="spellEnd"/>
      <w:r>
        <w:rPr>
          <w:rFonts w:ascii="Arial" w:eastAsia="Arial" w:hAnsi="Arial" w:cs="Arial"/>
          <w:sz w:val="22"/>
          <w:szCs w:val="22"/>
        </w:rPr>
        <w:t xml:space="preserve"> Trial data.  Access will be granted on a need-to-know basis and will be regularly reviewed. </w:t>
      </w:r>
    </w:p>
    <w:p w14:paraId="00000014" w14:textId="77777777" w:rsidR="001F46CF" w:rsidRDefault="00000000">
      <w:pPr>
        <w:widowControl w:val="0"/>
        <w:numPr>
          <w:ilvl w:val="0"/>
          <w:numId w:val="4"/>
        </w:numPr>
        <w:rPr>
          <w:rFonts w:ascii="Arial" w:eastAsia="Arial" w:hAnsi="Arial" w:cs="Arial"/>
          <w:sz w:val="22"/>
          <w:szCs w:val="22"/>
        </w:rPr>
      </w:pPr>
      <w:r>
        <w:rPr>
          <w:rFonts w:ascii="Arial" w:eastAsia="Arial" w:hAnsi="Arial" w:cs="Arial"/>
          <w:sz w:val="22"/>
          <w:szCs w:val="22"/>
          <w:u w:val="single"/>
        </w:rPr>
        <w:t>Data Usage:</w:t>
      </w:r>
      <w:r>
        <w:rPr>
          <w:rFonts w:ascii="Arial" w:eastAsia="Arial" w:hAnsi="Arial" w:cs="Arial"/>
          <w:sz w:val="22"/>
          <w:szCs w:val="22"/>
        </w:rPr>
        <w:t xml:space="preserve"> Data will be used solely for the purposes of the Trial project and will not be shared or used for any other purpose without the explicit consent of the participants. </w:t>
      </w:r>
    </w:p>
    <w:p w14:paraId="00000015" w14:textId="77777777" w:rsidR="001F46CF" w:rsidRPr="00856AE3" w:rsidRDefault="00000000" w:rsidP="00856AE3">
      <w:pPr>
        <w:pStyle w:val="Heading3"/>
      </w:pPr>
      <w:bookmarkStart w:id="6" w:name="_yc5zkntn7q0h" w:colFirst="0" w:colLast="0"/>
      <w:bookmarkEnd w:id="6"/>
      <w:r>
        <w:t>Data Deletion and Archiving</w:t>
      </w:r>
    </w:p>
    <w:p w14:paraId="00000016" w14:textId="77777777" w:rsidR="001F46CF" w:rsidRDefault="00000000">
      <w:pPr>
        <w:widowControl w:val="0"/>
        <w:numPr>
          <w:ilvl w:val="0"/>
          <w:numId w:val="6"/>
        </w:numPr>
        <w:rPr>
          <w:rFonts w:ascii="Arial" w:eastAsia="Arial" w:hAnsi="Arial" w:cs="Arial"/>
          <w:sz w:val="22"/>
          <w:szCs w:val="22"/>
        </w:rPr>
      </w:pPr>
      <w:r>
        <w:rPr>
          <w:rFonts w:ascii="Arial" w:eastAsia="Arial" w:hAnsi="Arial" w:cs="Arial"/>
          <w:sz w:val="22"/>
          <w:szCs w:val="22"/>
          <w:u w:val="single"/>
        </w:rPr>
        <w:t xml:space="preserve">Data Deletion: </w:t>
      </w:r>
      <w:r>
        <w:rPr>
          <w:rFonts w:ascii="Arial" w:eastAsia="Arial" w:hAnsi="Arial" w:cs="Arial"/>
          <w:sz w:val="22"/>
          <w:szCs w:val="22"/>
        </w:rPr>
        <w:t xml:space="preserve">Upon the completion of the Trial project, all data will be securely deleted from the </w:t>
      </w:r>
      <w:proofErr w:type="spellStart"/>
      <w:r>
        <w:rPr>
          <w:rFonts w:ascii="Arial" w:eastAsia="Arial" w:hAnsi="Arial" w:cs="Arial"/>
          <w:sz w:val="22"/>
          <w:szCs w:val="22"/>
        </w:rPr>
        <w:t>SandBox</w:t>
      </w:r>
      <w:proofErr w:type="spellEnd"/>
      <w:r>
        <w:rPr>
          <w:rFonts w:ascii="Arial" w:eastAsia="Arial" w:hAnsi="Arial" w:cs="Arial"/>
          <w:sz w:val="22"/>
          <w:szCs w:val="22"/>
        </w:rPr>
        <w:t xml:space="preserve"> Trial servers and any backups or copies. This process will be documented and verified. </w:t>
      </w:r>
    </w:p>
    <w:p w14:paraId="00000017" w14:textId="77777777" w:rsidR="001F46CF" w:rsidRDefault="00000000">
      <w:pPr>
        <w:widowControl w:val="0"/>
        <w:numPr>
          <w:ilvl w:val="0"/>
          <w:numId w:val="6"/>
        </w:numPr>
        <w:rPr>
          <w:rFonts w:ascii="Arial" w:eastAsia="Arial" w:hAnsi="Arial" w:cs="Arial"/>
          <w:sz w:val="22"/>
          <w:szCs w:val="22"/>
        </w:rPr>
      </w:pPr>
      <w:r>
        <w:rPr>
          <w:rFonts w:ascii="Arial" w:eastAsia="Arial" w:hAnsi="Arial" w:cs="Arial"/>
          <w:sz w:val="22"/>
          <w:szCs w:val="22"/>
          <w:u w:val="single"/>
        </w:rPr>
        <w:t xml:space="preserve">Data Archiving: </w:t>
      </w:r>
      <w:r>
        <w:rPr>
          <w:rFonts w:ascii="Arial" w:eastAsia="Arial" w:hAnsi="Arial" w:cs="Arial"/>
          <w:sz w:val="22"/>
          <w:szCs w:val="22"/>
        </w:rPr>
        <w:t xml:space="preserve">Prior to the deletion of the data, an archived copy of the data will be created and handed back to the </w:t>
      </w:r>
      <w:proofErr w:type="spellStart"/>
      <w:r>
        <w:rPr>
          <w:rFonts w:ascii="Arial" w:eastAsia="Arial" w:hAnsi="Arial" w:cs="Arial"/>
          <w:sz w:val="22"/>
          <w:szCs w:val="22"/>
        </w:rPr>
        <w:t>SandBox</w:t>
      </w:r>
      <w:proofErr w:type="spellEnd"/>
      <w:r>
        <w:rPr>
          <w:rFonts w:ascii="Arial" w:eastAsia="Arial" w:hAnsi="Arial" w:cs="Arial"/>
          <w:sz w:val="22"/>
          <w:szCs w:val="22"/>
        </w:rPr>
        <w:t xml:space="preserve"> Trial’s project sponsor. </w:t>
      </w:r>
    </w:p>
    <w:p w14:paraId="00000018" w14:textId="77777777" w:rsidR="001F46CF" w:rsidRPr="00856AE3" w:rsidRDefault="00000000" w:rsidP="00856AE3">
      <w:pPr>
        <w:pStyle w:val="Heading3"/>
      </w:pPr>
      <w:bookmarkStart w:id="7" w:name="_wiuf7q23qrqp" w:colFirst="0" w:colLast="0"/>
      <w:bookmarkEnd w:id="7"/>
      <w:r>
        <w:t>Incident Response and Reporting</w:t>
      </w:r>
    </w:p>
    <w:p w14:paraId="00000019" w14:textId="77777777" w:rsidR="001F46CF" w:rsidRDefault="00000000">
      <w:pPr>
        <w:widowControl w:val="0"/>
        <w:numPr>
          <w:ilvl w:val="0"/>
          <w:numId w:val="1"/>
        </w:numPr>
        <w:rPr>
          <w:rFonts w:ascii="Arial" w:eastAsia="Arial" w:hAnsi="Arial" w:cs="Arial"/>
          <w:sz w:val="22"/>
          <w:szCs w:val="22"/>
        </w:rPr>
      </w:pPr>
      <w:r>
        <w:rPr>
          <w:rFonts w:ascii="Arial" w:eastAsia="Arial" w:hAnsi="Arial" w:cs="Arial"/>
          <w:sz w:val="22"/>
          <w:szCs w:val="22"/>
          <w:u w:val="single"/>
        </w:rPr>
        <w:t xml:space="preserve">Incident Response Plan: </w:t>
      </w:r>
      <w:r>
        <w:rPr>
          <w:rFonts w:ascii="Arial" w:eastAsia="Arial" w:hAnsi="Arial" w:cs="Arial"/>
          <w:sz w:val="22"/>
          <w:szCs w:val="22"/>
        </w:rPr>
        <w:t xml:space="preserve">In the event of a data breach or other security incident, the </w:t>
      </w:r>
      <w:proofErr w:type="spellStart"/>
      <w:r>
        <w:rPr>
          <w:rFonts w:ascii="Arial" w:eastAsia="Arial" w:hAnsi="Arial" w:cs="Arial"/>
          <w:sz w:val="22"/>
          <w:szCs w:val="22"/>
        </w:rPr>
        <w:t>SandBox</w:t>
      </w:r>
      <w:proofErr w:type="spellEnd"/>
      <w:r>
        <w:rPr>
          <w:rFonts w:ascii="Arial" w:eastAsia="Arial" w:hAnsi="Arial" w:cs="Arial"/>
          <w:sz w:val="22"/>
          <w:szCs w:val="22"/>
        </w:rPr>
        <w:t xml:space="preserve"> </w:t>
      </w:r>
      <w:proofErr w:type="gramStart"/>
      <w:r>
        <w:rPr>
          <w:rFonts w:ascii="Arial" w:eastAsia="Arial" w:hAnsi="Arial" w:cs="Arial"/>
          <w:sz w:val="22"/>
          <w:szCs w:val="22"/>
        </w:rPr>
        <w:t>Trail  team</w:t>
      </w:r>
      <w:proofErr w:type="gramEnd"/>
      <w:r>
        <w:rPr>
          <w:rFonts w:ascii="Arial" w:eastAsia="Arial" w:hAnsi="Arial" w:cs="Arial"/>
          <w:sz w:val="22"/>
          <w:szCs w:val="22"/>
        </w:rPr>
        <w:t xml:space="preserve"> will follow a predefined incident response plan to contain the incident, mitigate the impact, and report the incident to the appropriate authorities and stakeholders. </w:t>
      </w:r>
    </w:p>
    <w:p w14:paraId="0000001A" w14:textId="77777777" w:rsidR="001F46CF" w:rsidRDefault="00000000">
      <w:pPr>
        <w:widowControl w:val="0"/>
        <w:numPr>
          <w:ilvl w:val="0"/>
          <w:numId w:val="1"/>
        </w:numPr>
        <w:rPr>
          <w:rFonts w:ascii="Arial" w:eastAsia="Arial" w:hAnsi="Arial" w:cs="Arial"/>
          <w:sz w:val="22"/>
          <w:szCs w:val="22"/>
        </w:rPr>
      </w:pPr>
      <w:r>
        <w:rPr>
          <w:rFonts w:ascii="Arial" w:eastAsia="Arial" w:hAnsi="Arial" w:cs="Arial"/>
          <w:sz w:val="22"/>
          <w:szCs w:val="22"/>
          <w:u w:val="single"/>
        </w:rPr>
        <w:t>Reporting:</w:t>
      </w:r>
      <w:r>
        <w:rPr>
          <w:rFonts w:ascii="Arial" w:eastAsia="Arial" w:hAnsi="Arial" w:cs="Arial"/>
          <w:sz w:val="22"/>
          <w:szCs w:val="22"/>
        </w:rPr>
        <w:t xml:space="preserve"> Any security incidents or breaches will be reported to the Trial’s project sponsor and the relevant data protection authorities, as required by applicable laws and regulations. </w:t>
      </w:r>
    </w:p>
    <w:p w14:paraId="0000001B" w14:textId="77777777" w:rsidR="001F46CF" w:rsidRPr="00856AE3" w:rsidRDefault="00000000" w:rsidP="00856AE3">
      <w:pPr>
        <w:pStyle w:val="Heading3"/>
      </w:pPr>
      <w:bookmarkStart w:id="8" w:name="_rqnh59c5fkr1" w:colFirst="0" w:colLast="0"/>
      <w:bookmarkEnd w:id="8"/>
      <w:r>
        <w:lastRenderedPageBreak/>
        <w:t>Compliance and Auditing</w:t>
      </w:r>
    </w:p>
    <w:p w14:paraId="0000001C" w14:textId="77777777" w:rsidR="001F46CF" w:rsidRDefault="00000000">
      <w:pPr>
        <w:widowControl w:val="0"/>
        <w:numPr>
          <w:ilvl w:val="0"/>
          <w:numId w:val="3"/>
        </w:numPr>
        <w:rPr>
          <w:rFonts w:ascii="Arial" w:eastAsia="Arial" w:hAnsi="Arial" w:cs="Arial"/>
          <w:sz w:val="22"/>
          <w:szCs w:val="22"/>
        </w:rPr>
      </w:pPr>
      <w:r>
        <w:rPr>
          <w:rFonts w:ascii="Arial" w:eastAsia="Arial" w:hAnsi="Arial" w:cs="Arial"/>
          <w:sz w:val="22"/>
          <w:szCs w:val="22"/>
          <w:u w:val="single"/>
        </w:rPr>
        <w:t>Compliance:</w:t>
      </w:r>
      <w:r>
        <w:rPr>
          <w:rFonts w:ascii="Arial" w:eastAsia="Arial" w:hAnsi="Arial" w:cs="Arial"/>
          <w:sz w:val="22"/>
          <w:szCs w:val="22"/>
        </w:rPr>
        <w:t xml:space="preserve"> The data security plan will be reviewed and updated regularly to ensure compliance with all applicable laws, regulations, and industry standards. </w:t>
      </w:r>
    </w:p>
    <w:p w14:paraId="0000001D" w14:textId="77777777" w:rsidR="001F46CF" w:rsidRDefault="00000000">
      <w:pPr>
        <w:widowControl w:val="0"/>
        <w:numPr>
          <w:ilvl w:val="0"/>
          <w:numId w:val="3"/>
        </w:numPr>
        <w:rPr>
          <w:rFonts w:ascii="Arial" w:eastAsia="Arial" w:hAnsi="Arial" w:cs="Arial"/>
          <w:sz w:val="22"/>
          <w:szCs w:val="22"/>
        </w:rPr>
      </w:pPr>
      <w:r>
        <w:rPr>
          <w:rFonts w:ascii="Arial" w:eastAsia="Arial" w:hAnsi="Arial" w:cs="Arial"/>
          <w:sz w:val="22"/>
          <w:szCs w:val="22"/>
          <w:u w:val="single"/>
        </w:rPr>
        <w:t>Auditing:</w:t>
      </w:r>
      <w:r>
        <w:rPr>
          <w:rFonts w:ascii="Arial" w:eastAsia="Arial" w:hAnsi="Arial" w:cs="Arial"/>
          <w:sz w:val="22"/>
          <w:szCs w:val="22"/>
        </w:rPr>
        <w:t xml:space="preserve"> The project team will conduct regular audits to ensure the effectiveness of the data security measures and identify any areas for improvement. </w:t>
      </w:r>
    </w:p>
    <w:p w14:paraId="0000001E" w14:textId="77777777" w:rsidR="001F46CF" w:rsidRDefault="001F46CF">
      <w:pPr>
        <w:widowControl w:val="0"/>
        <w:rPr>
          <w:rFonts w:ascii="Arial" w:eastAsia="Arial" w:hAnsi="Arial" w:cs="Arial"/>
          <w:sz w:val="22"/>
          <w:szCs w:val="22"/>
        </w:rPr>
      </w:pPr>
    </w:p>
    <w:p w14:paraId="0000001F" w14:textId="77777777" w:rsidR="001F46CF" w:rsidRDefault="00000000">
      <w:pPr>
        <w:widowControl w:val="0"/>
        <w:rPr>
          <w:rFonts w:ascii="Arial" w:eastAsia="Arial" w:hAnsi="Arial" w:cs="Arial"/>
          <w:sz w:val="22"/>
          <w:szCs w:val="22"/>
        </w:rPr>
      </w:pPr>
      <w:r>
        <w:rPr>
          <w:rFonts w:ascii="Arial" w:eastAsia="Arial" w:hAnsi="Arial" w:cs="Arial"/>
          <w:sz w:val="22"/>
          <w:szCs w:val="22"/>
        </w:rPr>
        <w:t>By implementing this data security plan, we can ensure the confidentiality, integrity, and availability of the data used in the project, and provide a secure process for deleting the data and handing back an archived copy upon the trial's completion.</w:t>
      </w:r>
    </w:p>
    <w:p w14:paraId="00000020" w14:textId="77777777" w:rsidR="001F46CF" w:rsidRDefault="00000000">
      <w:pPr>
        <w:widowControl w:val="0"/>
        <w:rPr>
          <w:rFonts w:ascii="Arial" w:eastAsia="Arial" w:hAnsi="Arial" w:cs="Arial"/>
          <w:sz w:val="22"/>
          <w:szCs w:val="22"/>
        </w:rPr>
      </w:pPr>
      <w:r>
        <w:rPr>
          <w:rFonts w:ascii="Arial" w:eastAsia="Arial" w:hAnsi="Arial" w:cs="Arial"/>
          <w:sz w:val="22"/>
          <w:szCs w:val="22"/>
        </w:rPr>
        <w:t xml:space="preserve"> </w:t>
      </w:r>
    </w:p>
    <w:p w14:paraId="00000021" w14:textId="77777777" w:rsidR="001F46CF" w:rsidRDefault="00000000">
      <w:pPr>
        <w:pStyle w:val="Heading1"/>
        <w:keepNext/>
        <w:keepLines/>
        <w:widowControl w:val="0"/>
        <w:spacing w:before="400" w:after="120"/>
        <w:rPr>
          <w:rFonts w:ascii="Arial" w:eastAsia="Arial" w:hAnsi="Arial" w:cs="Arial"/>
          <w:b w:val="0"/>
          <w:sz w:val="40"/>
          <w:szCs w:val="40"/>
        </w:rPr>
      </w:pPr>
      <w:bookmarkStart w:id="9" w:name="_s6sijrx43m71" w:colFirst="0" w:colLast="0"/>
      <w:bookmarkEnd w:id="9"/>
      <w:r>
        <w:br w:type="page"/>
      </w:r>
    </w:p>
    <w:p w14:paraId="00000022" w14:textId="77777777" w:rsidR="001F46CF" w:rsidRPr="00856AE3" w:rsidRDefault="00000000" w:rsidP="00856AE3">
      <w:pPr>
        <w:pStyle w:val="Heading1"/>
        <w:rPr>
          <w:rFonts w:eastAsia="Arial"/>
        </w:rPr>
      </w:pPr>
      <w:bookmarkStart w:id="10" w:name="_d09ncegy8rjv" w:colFirst="0" w:colLast="0"/>
      <w:bookmarkEnd w:id="10"/>
      <w:r>
        <w:rPr>
          <w:rFonts w:eastAsia="Arial"/>
        </w:rPr>
        <w:lastRenderedPageBreak/>
        <w:t>About Us:</w:t>
      </w:r>
    </w:p>
    <w:p w14:paraId="00000023" w14:textId="77777777" w:rsidR="001F46CF" w:rsidRDefault="00000000">
      <w:pPr>
        <w:keepNext/>
        <w:keepLines/>
        <w:widowControl w:val="0"/>
        <w:rPr>
          <w:rFonts w:ascii="Arial" w:eastAsia="Arial" w:hAnsi="Arial" w:cs="Arial"/>
          <w:sz w:val="22"/>
          <w:szCs w:val="22"/>
        </w:rPr>
      </w:pPr>
      <w:r>
        <w:rPr>
          <w:rFonts w:ascii="Arial" w:eastAsia="Arial" w:hAnsi="Arial" w:cs="Arial"/>
          <w:sz w:val="22"/>
          <w:szCs w:val="22"/>
        </w:rPr>
        <w:t xml:space="preserve">Welcome to the SCOTi </w:t>
      </w:r>
      <w:proofErr w:type="spellStart"/>
      <w:r>
        <w:rPr>
          <w:rFonts w:ascii="Arial" w:eastAsia="Arial" w:hAnsi="Arial" w:cs="Arial"/>
          <w:sz w:val="22"/>
          <w:szCs w:val="22"/>
        </w:rPr>
        <w:t>SandBox</w:t>
      </w:r>
      <w:proofErr w:type="spellEnd"/>
      <w:r>
        <w:rPr>
          <w:rFonts w:ascii="Arial" w:eastAsia="Arial" w:hAnsi="Arial" w:cs="Arial"/>
          <w:sz w:val="22"/>
          <w:szCs w:val="22"/>
        </w:rPr>
        <w:t xml:space="preserve"> where you can trial and experiment with a sample of beta </w:t>
      </w:r>
      <w:proofErr w:type="spellStart"/>
      <w:r>
        <w:rPr>
          <w:rFonts w:ascii="Arial" w:eastAsia="Arial" w:hAnsi="Arial" w:cs="Arial"/>
          <w:sz w:val="22"/>
          <w:szCs w:val="22"/>
        </w:rPr>
        <w:t>versionSCOTi</w:t>
      </w:r>
      <w:proofErr w:type="spellEnd"/>
      <w:r>
        <w:rPr>
          <w:rFonts w:ascii="Arial" w:eastAsia="Arial" w:hAnsi="Arial" w:cs="Arial"/>
          <w:sz w:val="22"/>
          <w:szCs w:val="22"/>
        </w:rPr>
        <w:t xml:space="preserve"> AI agents.</w:t>
      </w:r>
    </w:p>
    <w:p w14:paraId="00000024" w14:textId="77777777" w:rsidR="001F46CF" w:rsidRDefault="001F46CF">
      <w:pPr>
        <w:keepNext/>
        <w:keepLines/>
        <w:widowControl w:val="0"/>
        <w:rPr>
          <w:rFonts w:ascii="Arial" w:eastAsia="Arial" w:hAnsi="Arial" w:cs="Arial"/>
          <w:sz w:val="22"/>
          <w:szCs w:val="22"/>
        </w:rPr>
      </w:pPr>
    </w:p>
    <w:p w14:paraId="00000025" w14:textId="77777777" w:rsidR="001F46CF" w:rsidRDefault="00000000">
      <w:pPr>
        <w:keepNext/>
        <w:keepLines/>
        <w:widowControl w:val="0"/>
        <w:rPr>
          <w:rFonts w:ascii="Arial" w:eastAsia="Arial" w:hAnsi="Arial" w:cs="Arial"/>
          <w:sz w:val="22"/>
          <w:szCs w:val="22"/>
        </w:rPr>
      </w:pPr>
      <w:r>
        <w:rPr>
          <w:rFonts w:ascii="Arial" w:eastAsia="Arial" w:hAnsi="Arial" w:cs="Arial"/>
          <w:sz w:val="22"/>
          <w:szCs w:val="22"/>
        </w:rPr>
        <w:t xml:space="preserve">This Sandbox provides potential SCOTi Owners an opportunity to experience and engage with SCOTi AI </w:t>
      </w:r>
      <w:proofErr w:type="gramStart"/>
      <w:r>
        <w:rPr>
          <w:rFonts w:ascii="Arial" w:eastAsia="Arial" w:hAnsi="Arial" w:cs="Arial"/>
          <w:sz w:val="22"/>
          <w:szCs w:val="22"/>
        </w:rPr>
        <w:t>first hand</w:t>
      </w:r>
      <w:proofErr w:type="gramEnd"/>
      <w:r>
        <w:rPr>
          <w:rFonts w:ascii="Arial" w:eastAsia="Arial" w:hAnsi="Arial" w:cs="Arial"/>
          <w:sz w:val="22"/>
          <w:szCs w:val="22"/>
        </w:rPr>
        <w:t>; helping to go from “Umm to Ahh “.</w:t>
      </w:r>
    </w:p>
    <w:p w14:paraId="00000026" w14:textId="77777777" w:rsidR="001F46CF" w:rsidRDefault="001F46CF">
      <w:pPr>
        <w:keepNext/>
        <w:keepLines/>
        <w:widowControl w:val="0"/>
        <w:rPr>
          <w:rFonts w:ascii="Arial" w:eastAsia="Arial" w:hAnsi="Arial" w:cs="Arial"/>
          <w:sz w:val="22"/>
          <w:szCs w:val="22"/>
        </w:rPr>
      </w:pPr>
    </w:p>
    <w:p w14:paraId="00000027" w14:textId="77777777" w:rsidR="001F46CF" w:rsidRDefault="00000000">
      <w:pPr>
        <w:keepNext/>
        <w:keepLines/>
        <w:widowControl w:val="0"/>
        <w:rPr>
          <w:rFonts w:ascii="Arial" w:eastAsia="Arial" w:hAnsi="Arial" w:cs="Arial"/>
          <w:sz w:val="22"/>
          <w:szCs w:val="22"/>
        </w:rPr>
      </w:pPr>
      <w:r>
        <w:rPr>
          <w:rFonts w:ascii="Arial" w:eastAsia="Arial" w:hAnsi="Arial" w:cs="Arial"/>
          <w:sz w:val="22"/>
          <w:szCs w:val="22"/>
        </w:rPr>
        <w:t xml:space="preserve">This is </w:t>
      </w:r>
      <w:proofErr w:type="spellStart"/>
      <w:proofErr w:type="gramStart"/>
      <w:r>
        <w:rPr>
          <w:rFonts w:ascii="Arial" w:eastAsia="Arial" w:hAnsi="Arial" w:cs="Arial"/>
          <w:sz w:val="22"/>
          <w:szCs w:val="22"/>
        </w:rPr>
        <w:t>a</w:t>
      </w:r>
      <w:proofErr w:type="spellEnd"/>
      <w:proofErr w:type="gramEnd"/>
      <w:r>
        <w:rPr>
          <w:rFonts w:ascii="Arial" w:eastAsia="Arial" w:hAnsi="Arial" w:cs="Arial"/>
          <w:sz w:val="22"/>
          <w:szCs w:val="22"/>
        </w:rPr>
        <w:t xml:space="preserve"> early step in the smarter AI adoption journey.  Currently too much overhype about Big AI models is generating distorted perceptions about the role and contribution of GenAI in the enterprise.  The greatest value of GenAI is from a Smarter AI Suite of digital building blocks supporting major performance improvement.  The SCOTi Suite of agents can be a “super-power” tool for the Executive and for the Analyst community in any agency or enterprise; it’s never just a tool for the IT department.  Whether you’re commissioning a single SCOTi tool for the AI workbench or developing SCOTi AI machinery for the AI workshop or even constructing the SCOTi AI powered AI Factory the </w:t>
      </w:r>
      <w:proofErr w:type="gramStart"/>
      <w:r>
        <w:rPr>
          <w:rFonts w:ascii="Arial" w:eastAsia="Arial" w:hAnsi="Arial" w:cs="Arial"/>
          <w:sz w:val="22"/>
          <w:szCs w:val="22"/>
        </w:rPr>
        <w:t>process  is</w:t>
      </w:r>
      <w:proofErr w:type="gramEnd"/>
      <w:r>
        <w:rPr>
          <w:rFonts w:ascii="Arial" w:eastAsia="Arial" w:hAnsi="Arial" w:cs="Arial"/>
          <w:sz w:val="22"/>
          <w:szCs w:val="22"/>
        </w:rPr>
        <w:t xml:space="preserve"> not a prescriptive software delivery project; it is a project requiring high Emotional Maturity and deep Data Science expertise.  Throughout this journey it's vital to always remember the core, high value asset in any enterprise or agency is in the sovereign data.</w:t>
      </w:r>
    </w:p>
    <w:p w14:paraId="00000028" w14:textId="77777777" w:rsidR="001F46CF" w:rsidRDefault="001F46CF">
      <w:pPr>
        <w:widowControl w:val="0"/>
        <w:rPr>
          <w:rFonts w:ascii="Arial" w:eastAsia="Arial" w:hAnsi="Arial" w:cs="Arial"/>
          <w:sz w:val="22"/>
          <w:szCs w:val="22"/>
        </w:rPr>
      </w:pPr>
    </w:p>
    <w:p w14:paraId="00000029" w14:textId="77777777" w:rsidR="001F46CF" w:rsidRDefault="00000000">
      <w:pPr>
        <w:widowControl w:val="0"/>
        <w:rPr>
          <w:rFonts w:ascii="Arial" w:eastAsia="Arial" w:hAnsi="Arial" w:cs="Arial"/>
          <w:sz w:val="22"/>
          <w:szCs w:val="22"/>
        </w:rPr>
      </w:pPr>
      <w:r>
        <w:rPr>
          <w:rFonts w:ascii="Arial" w:eastAsia="Arial" w:hAnsi="Arial" w:cs="Arial"/>
          <w:sz w:val="22"/>
          <w:szCs w:val="22"/>
        </w:rPr>
        <w:t xml:space="preserve">This </w:t>
      </w:r>
      <w:proofErr w:type="spellStart"/>
      <w:r>
        <w:rPr>
          <w:rFonts w:ascii="Arial" w:eastAsia="Arial" w:hAnsi="Arial" w:cs="Arial"/>
          <w:sz w:val="22"/>
          <w:szCs w:val="22"/>
        </w:rPr>
        <w:t>SandBox</w:t>
      </w:r>
      <w:proofErr w:type="spellEnd"/>
      <w:r>
        <w:rPr>
          <w:rFonts w:ascii="Arial" w:eastAsia="Arial" w:hAnsi="Arial" w:cs="Arial"/>
          <w:sz w:val="22"/>
          <w:szCs w:val="22"/>
        </w:rPr>
        <w:t xml:space="preserve"> lets users experiment and consider what might be possible.  Trialing is a first step in capturing a Narrative document of the vision, the purpose and any prescriptions for a fully grown SCOTi AI agent.  This hands-on experience helps define a draft Narrative, developed with SCOTi, prompted by inputs from the sandbox trial and directed by the enterprise operations and plans.  The Narrative is published as a strawman to help explain, qualify and inspire stakeholders and participants.  This is recalibrated and align into a final agreed Narrative for a Vision Match Proposal (VMP) workshop.  This final Narrative and the subsequent VMP capture agreed details of the Owner’s SCOTi agents with all the detail that is necessary and sufficient to generate a Statement of Work (SoW).  After SoW consideration &amp; approval the details direct the “&gt;plan &gt; build &gt; run” steps to commission a production SCOTi AI Agent and establish GenAI roadmap for the future.</w:t>
      </w:r>
    </w:p>
    <w:p w14:paraId="0000002A" w14:textId="77777777" w:rsidR="001F46CF" w:rsidRDefault="001F46CF">
      <w:pPr>
        <w:widowControl w:val="0"/>
        <w:rPr>
          <w:rFonts w:ascii="Arial" w:eastAsia="Arial" w:hAnsi="Arial" w:cs="Arial"/>
          <w:sz w:val="22"/>
          <w:szCs w:val="22"/>
        </w:rPr>
      </w:pPr>
    </w:p>
    <w:p w14:paraId="0000002B" w14:textId="77777777" w:rsidR="001F46CF" w:rsidRDefault="00000000">
      <w:pPr>
        <w:widowControl w:val="0"/>
        <w:rPr>
          <w:rFonts w:ascii="Arial" w:eastAsia="Arial" w:hAnsi="Arial" w:cs="Arial"/>
          <w:sz w:val="22"/>
          <w:szCs w:val="22"/>
        </w:rPr>
      </w:pPr>
      <w:r>
        <w:rPr>
          <w:rFonts w:ascii="Arial" w:eastAsia="Arial" w:hAnsi="Arial" w:cs="Arial"/>
          <w:sz w:val="22"/>
          <w:szCs w:val="22"/>
        </w:rPr>
        <w:t xml:space="preserve">This SCOTi Sandbox is running beta version SCOTi AI agents.  These are for experimentation.  The SCOTi agents have not been scaled-up or locked-down like a production SCOTi AI agent.  While we have built a secure and robust sandbox, it is possible to find the limits and it can (sometimes) be necessary to re-start or scale-back the trialing.  SCOTi will generally tell you if something goes wrong.  When in doubt you can always just ask SCOTi if there’s a question and a page reload will always get you re-started. </w:t>
      </w:r>
    </w:p>
    <w:p w14:paraId="0000002C" w14:textId="77777777" w:rsidR="001F46CF" w:rsidRDefault="001F46CF">
      <w:pPr>
        <w:widowControl w:val="0"/>
        <w:rPr>
          <w:rFonts w:ascii="Arial" w:eastAsia="Arial" w:hAnsi="Arial" w:cs="Arial"/>
          <w:sz w:val="22"/>
          <w:szCs w:val="22"/>
        </w:rPr>
      </w:pPr>
    </w:p>
    <w:p w14:paraId="0000002D" w14:textId="77777777" w:rsidR="001F46CF" w:rsidRDefault="00000000">
      <w:pPr>
        <w:widowControl w:val="0"/>
        <w:rPr>
          <w:rFonts w:ascii="Arial" w:eastAsia="Arial" w:hAnsi="Arial" w:cs="Arial"/>
          <w:sz w:val="22"/>
          <w:szCs w:val="22"/>
        </w:rPr>
      </w:pPr>
      <w:r>
        <w:rPr>
          <w:rFonts w:ascii="Arial" w:eastAsia="Arial" w:hAnsi="Arial" w:cs="Arial"/>
          <w:sz w:val="22"/>
          <w:szCs w:val="22"/>
        </w:rPr>
        <w:t xml:space="preserve">Please also use the Feedback button.  This is one of the best ways to let us know your: Comments, Questions, Anomalies Encountered, Feature Requests.  </w:t>
      </w:r>
    </w:p>
    <w:p w14:paraId="0000002E" w14:textId="77777777" w:rsidR="001F46CF" w:rsidRDefault="001F46CF">
      <w:pPr>
        <w:widowControl w:val="0"/>
        <w:rPr>
          <w:rFonts w:ascii="Arial" w:eastAsia="Arial" w:hAnsi="Arial" w:cs="Arial"/>
          <w:sz w:val="22"/>
          <w:szCs w:val="22"/>
        </w:rPr>
      </w:pPr>
    </w:p>
    <w:p w14:paraId="0000002F" w14:textId="77777777" w:rsidR="001F46CF" w:rsidRDefault="00000000">
      <w:pPr>
        <w:widowControl w:val="0"/>
        <w:rPr>
          <w:rFonts w:ascii="Arial" w:eastAsia="Arial" w:hAnsi="Arial" w:cs="Arial"/>
          <w:sz w:val="22"/>
          <w:szCs w:val="22"/>
        </w:rPr>
      </w:pPr>
      <w:r>
        <w:rPr>
          <w:rFonts w:ascii="Arial" w:eastAsia="Arial" w:hAnsi="Arial" w:cs="Arial"/>
          <w:sz w:val="22"/>
          <w:szCs w:val="22"/>
        </w:rPr>
        <w:t xml:space="preserve">Each SCOTi AI </w:t>
      </w:r>
      <w:proofErr w:type="spellStart"/>
      <w:r>
        <w:rPr>
          <w:rFonts w:ascii="Arial" w:eastAsia="Arial" w:hAnsi="Arial" w:cs="Arial"/>
          <w:sz w:val="22"/>
          <w:szCs w:val="22"/>
        </w:rPr>
        <w:t>SandBox</w:t>
      </w:r>
      <w:proofErr w:type="spellEnd"/>
      <w:r>
        <w:rPr>
          <w:rFonts w:ascii="Arial" w:eastAsia="Arial" w:hAnsi="Arial" w:cs="Arial"/>
          <w:sz w:val="22"/>
          <w:szCs w:val="22"/>
        </w:rPr>
        <w:t xml:space="preserve"> User has their own login, secured with Multi Factor Authentication by default and each User organization has their own private instance of SCOTi AI on AWS, maintaining a sovereign solution. </w:t>
      </w:r>
    </w:p>
    <w:p w14:paraId="00000030" w14:textId="77777777" w:rsidR="001F46CF" w:rsidRDefault="001F46CF">
      <w:pPr>
        <w:widowControl w:val="0"/>
        <w:rPr>
          <w:rFonts w:ascii="Arial" w:eastAsia="Arial" w:hAnsi="Arial" w:cs="Arial"/>
          <w:sz w:val="22"/>
          <w:szCs w:val="22"/>
        </w:rPr>
      </w:pPr>
    </w:p>
    <w:p w14:paraId="00000031" w14:textId="77777777" w:rsidR="001F46CF" w:rsidRDefault="00000000">
      <w:pPr>
        <w:widowControl w:val="0"/>
        <w:rPr>
          <w:rFonts w:ascii="Arial" w:eastAsia="Arial" w:hAnsi="Arial" w:cs="Arial"/>
          <w:sz w:val="22"/>
          <w:szCs w:val="22"/>
        </w:rPr>
      </w:pPr>
      <w:r>
        <w:rPr>
          <w:rFonts w:ascii="Arial" w:eastAsia="Arial" w:hAnsi="Arial" w:cs="Arial"/>
          <w:sz w:val="22"/>
          <w:szCs w:val="22"/>
        </w:rPr>
        <w:t xml:space="preserve">For any questions about the Privacy Policy, your data security and our Terms of Use for the SCOTi AI </w:t>
      </w:r>
      <w:proofErr w:type="spellStart"/>
      <w:r>
        <w:rPr>
          <w:rFonts w:ascii="Arial" w:eastAsia="Arial" w:hAnsi="Arial" w:cs="Arial"/>
          <w:sz w:val="22"/>
          <w:szCs w:val="22"/>
        </w:rPr>
        <w:t>SandBox</w:t>
      </w:r>
      <w:proofErr w:type="spellEnd"/>
      <w:r>
        <w:rPr>
          <w:rFonts w:ascii="Arial" w:eastAsia="Arial" w:hAnsi="Arial" w:cs="Arial"/>
          <w:sz w:val="22"/>
          <w:szCs w:val="22"/>
        </w:rPr>
        <w:t>, please refer to the links provided.</w:t>
      </w:r>
    </w:p>
    <w:p w14:paraId="00000032" w14:textId="77777777" w:rsidR="001F46CF" w:rsidRDefault="001F46CF">
      <w:pPr>
        <w:widowControl w:val="0"/>
        <w:rPr>
          <w:rFonts w:ascii="Arial" w:eastAsia="Arial" w:hAnsi="Arial" w:cs="Arial"/>
          <w:sz w:val="22"/>
          <w:szCs w:val="22"/>
        </w:rPr>
      </w:pPr>
    </w:p>
    <w:p w14:paraId="00000033" w14:textId="77777777" w:rsidR="001F46CF" w:rsidRDefault="00000000">
      <w:pPr>
        <w:widowControl w:val="0"/>
        <w:rPr>
          <w:rFonts w:ascii="Arial" w:eastAsia="Arial" w:hAnsi="Arial" w:cs="Arial"/>
          <w:sz w:val="22"/>
          <w:szCs w:val="22"/>
        </w:rPr>
      </w:pPr>
      <w:r>
        <w:rPr>
          <w:rFonts w:ascii="Arial" w:eastAsia="Arial" w:hAnsi="Arial" w:cs="Arial"/>
          <w:sz w:val="22"/>
          <w:szCs w:val="22"/>
        </w:rPr>
        <w:t xml:space="preserve">We hope you have fun using this SCOTi Sandbox.  We hope it helps show what’s possible and maybe how its needs to work for you.  And we hope it lets you see not just those 10% productivity </w:t>
      </w:r>
      <w:proofErr w:type="gramStart"/>
      <w:r>
        <w:rPr>
          <w:rFonts w:ascii="Arial" w:eastAsia="Arial" w:hAnsi="Arial" w:cs="Arial"/>
          <w:sz w:val="22"/>
          <w:szCs w:val="22"/>
        </w:rPr>
        <w:t>gains</w:t>
      </w:r>
      <w:proofErr w:type="gramEnd"/>
      <w:r>
        <w:rPr>
          <w:rFonts w:ascii="Arial" w:eastAsia="Arial" w:hAnsi="Arial" w:cs="Arial"/>
          <w:sz w:val="22"/>
          <w:szCs w:val="22"/>
        </w:rPr>
        <w:t xml:space="preserve"> but it inspires the confidence to find that 10x performance improvement.</w:t>
      </w:r>
    </w:p>
    <w:p w14:paraId="00000034" w14:textId="77777777" w:rsidR="001F46CF" w:rsidRDefault="001F46CF">
      <w:pPr>
        <w:widowControl w:val="0"/>
        <w:rPr>
          <w:rFonts w:ascii="Arial" w:eastAsia="Arial" w:hAnsi="Arial" w:cs="Arial"/>
          <w:sz w:val="22"/>
          <w:szCs w:val="22"/>
        </w:rPr>
      </w:pPr>
    </w:p>
    <w:p w14:paraId="00000035" w14:textId="77777777" w:rsidR="001F46CF" w:rsidRDefault="00000000">
      <w:pPr>
        <w:widowControl w:val="0"/>
        <w:rPr>
          <w:rFonts w:ascii="Arial" w:eastAsia="Arial" w:hAnsi="Arial" w:cs="Arial"/>
          <w:sz w:val="22"/>
          <w:szCs w:val="22"/>
        </w:rPr>
      </w:pPr>
      <w:r>
        <w:rPr>
          <w:rFonts w:ascii="Arial" w:eastAsia="Arial" w:hAnsi="Arial" w:cs="Arial"/>
          <w:sz w:val="22"/>
          <w:szCs w:val="22"/>
        </w:rPr>
        <w:t>Enjoy and have fun!</w:t>
      </w:r>
    </w:p>
    <w:p w14:paraId="00000036" w14:textId="77777777" w:rsidR="001F46CF" w:rsidRDefault="001F46CF">
      <w:pPr>
        <w:widowControl w:val="0"/>
        <w:rPr>
          <w:rFonts w:ascii="Arial" w:eastAsia="Arial" w:hAnsi="Arial" w:cs="Arial"/>
          <w:sz w:val="22"/>
          <w:szCs w:val="22"/>
        </w:rPr>
      </w:pPr>
    </w:p>
    <w:p w14:paraId="00000037" w14:textId="77777777" w:rsidR="001F46CF" w:rsidRDefault="001F46CF">
      <w:pPr>
        <w:widowControl w:val="0"/>
        <w:rPr>
          <w:rFonts w:ascii="Arial" w:eastAsia="Arial" w:hAnsi="Arial" w:cs="Arial"/>
          <w:b/>
          <w:sz w:val="22"/>
          <w:szCs w:val="22"/>
          <w:u w:val="single"/>
        </w:rPr>
      </w:pPr>
    </w:p>
    <w:p w14:paraId="1AFA370C" w14:textId="77777777" w:rsidR="00856AE3" w:rsidRDefault="00856AE3">
      <w:pPr>
        <w:rPr>
          <w:rFonts w:ascii="Times New Roman" w:eastAsia="Arial" w:hAnsi="Times New Roman" w:cs="Times New Roman"/>
          <w:b/>
          <w:sz w:val="48"/>
          <w:szCs w:val="48"/>
        </w:rPr>
      </w:pPr>
      <w:bookmarkStart w:id="11" w:name="_feadoz78ynkw" w:colFirst="0" w:colLast="0"/>
      <w:bookmarkEnd w:id="11"/>
      <w:r>
        <w:rPr>
          <w:rFonts w:eastAsia="Arial"/>
        </w:rPr>
        <w:br w:type="page"/>
      </w:r>
    </w:p>
    <w:p w14:paraId="00000038" w14:textId="7C566F56" w:rsidR="001F46CF" w:rsidRPr="00856AE3" w:rsidRDefault="00000000" w:rsidP="00856AE3">
      <w:pPr>
        <w:pStyle w:val="Heading1"/>
        <w:rPr>
          <w:rFonts w:eastAsia="Arial"/>
        </w:rPr>
      </w:pPr>
      <w:r>
        <w:rPr>
          <w:rFonts w:eastAsia="Arial"/>
        </w:rPr>
        <w:lastRenderedPageBreak/>
        <w:t xml:space="preserve">Terms of Use: </w:t>
      </w:r>
    </w:p>
    <w:p w14:paraId="00000039" w14:textId="77777777" w:rsidR="001F46CF" w:rsidRDefault="00000000" w:rsidP="00856AE3">
      <w:pPr>
        <w:pStyle w:val="Heading2"/>
        <w:rPr>
          <w:rFonts w:eastAsia="Arial"/>
        </w:rPr>
      </w:pPr>
      <w:bookmarkStart w:id="12" w:name="_rqd6yie9t4my" w:colFirst="0" w:colLast="0"/>
      <w:bookmarkEnd w:id="12"/>
      <w:r>
        <w:rPr>
          <w:rFonts w:eastAsia="Arial"/>
        </w:rPr>
        <w:t>1. Introduction</w:t>
      </w:r>
    </w:p>
    <w:p w14:paraId="0000003A" w14:textId="77777777" w:rsidR="001F46CF" w:rsidRDefault="001F46CF">
      <w:pPr>
        <w:keepNext/>
        <w:keepLines/>
        <w:widowControl w:val="0"/>
        <w:rPr>
          <w:rFonts w:ascii="Arial" w:eastAsia="Arial" w:hAnsi="Arial" w:cs="Arial"/>
          <w:sz w:val="22"/>
          <w:szCs w:val="22"/>
        </w:rPr>
      </w:pPr>
    </w:p>
    <w:p w14:paraId="0000003B" w14:textId="77777777" w:rsidR="001F46CF" w:rsidRDefault="00000000">
      <w:pPr>
        <w:keepNext/>
        <w:keepLines/>
        <w:widowControl w:val="0"/>
        <w:rPr>
          <w:rFonts w:ascii="Arial" w:eastAsia="Arial" w:hAnsi="Arial" w:cs="Arial"/>
          <w:sz w:val="22"/>
          <w:szCs w:val="22"/>
        </w:rPr>
      </w:pPr>
      <w:r>
        <w:rPr>
          <w:rFonts w:ascii="Arial" w:eastAsia="Arial" w:hAnsi="Arial" w:cs="Arial"/>
          <w:sz w:val="22"/>
          <w:szCs w:val="22"/>
        </w:rPr>
        <w:t xml:space="preserve">Welcome to our </w:t>
      </w:r>
      <w:proofErr w:type="spellStart"/>
      <w:r>
        <w:rPr>
          <w:rFonts w:ascii="Arial" w:eastAsia="Arial" w:hAnsi="Arial" w:cs="Arial"/>
          <w:sz w:val="22"/>
          <w:szCs w:val="22"/>
        </w:rPr>
        <w:t>SCOTiAI</w:t>
      </w:r>
      <w:proofErr w:type="spellEnd"/>
      <w:r>
        <w:rPr>
          <w:rFonts w:ascii="Arial" w:eastAsia="Arial" w:hAnsi="Arial" w:cs="Arial"/>
          <w:sz w:val="22"/>
          <w:szCs w:val="22"/>
        </w:rPr>
        <w:t xml:space="preserve"> Sandbox. These Terms of Use govern your access to and use of our platform. By accessing or using the Sandbox, you agree to be bound by these Terms.</w:t>
      </w:r>
    </w:p>
    <w:p w14:paraId="0000003C" w14:textId="77777777" w:rsidR="001F46CF" w:rsidRPr="00856AE3" w:rsidRDefault="00000000" w:rsidP="00856AE3">
      <w:pPr>
        <w:pStyle w:val="Heading2"/>
        <w:rPr>
          <w:rFonts w:eastAsia="Arial"/>
        </w:rPr>
      </w:pPr>
      <w:bookmarkStart w:id="13" w:name="_4lkmtcmjg3g2" w:colFirst="0" w:colLast="0"/>
      <w:bookmarkEnd w:id="13"/>
      <w:r>
        <w:rPr>
          <w:rFonts w:eastAsia="Arial"/>
        </w:rPr>
        <w:t>2. Sandbox Purpose</w:t>
      </w:r>
    </w:p>
    <w:p w14:paraId="0000003D" w14:textId="77777777" w:rsidR="001F46CF" w:rsidRDefault="00000000">
      <w:pPr>
        <w:keepNext/>
        <w:keepLines/>
        <w:widowControl w:val="0"/>
        <w:rPr>
          <w:rFonts w:ascii="Arial" w:eastAsia="Arial" w:hAnsi="Arial" w:cs="Arial"/>
          <w:sz w:val="22"/>
          <w:szCs w:val="22"/>
        </w:rPr>
      </w:pPr>
      <w:r>
        <w:rPr>
          <w:rFonts w:ascii="Arial" w:eastAsia="Arial" w:hAnsi="Arial" w:cs="Arial"/>
          <w:sz w:val="22"/>
          <w:szCs w:val="22"/>
        </w:rPr>
        <w:t xml:space="preserve">The Sandbox is a platform designed to allow users to experiment with sample private </w:t>
      </w:r>
      <w:proofErr w:type="spellStart"/>
      <w:r>
        <w:rPr>
          <w:rFonts w:ascii="Arial" w:eastAsia="Arial" w:hAnsi="Arial" w:cs="Arial"/>
          <w:sz w:val="22"/>
          <w:szCs w:val="22"/>
        </w:rPr>
        <w:t>SCOTiAI</w:t>
      </w:r>
      <w:proofErr w:type="spellEnd"/>
      <w:r>
        <w:rPr>
          <w:rFonts w:ascii="Arial" w:eastAsia="Arial" w:hAnsi="Arial" w:cs="Arial"/>
          <w:sz w:val="22"/>
          <w:szCs w:val="22"/>
        </w:rPr>
        <w:t xml:space="preserve"> agents. The agents are for research and experimentation purposes only and may not be accurate or reliable.</w:t>
      </w:r>
    </w:p>
    <w:p w14:paraId="0000003E" w14:textId="77777777" w:rsidR="001F46CF" w:rsidRDefault="001F46CF">
      <w:pPr>
        <w:keepNext/>
        <w:keepLines/>
        <w:widowControl w:val="0"/>
        <w:rPr>
          <w:rFonts w:ascii="Arial" w:eastAsia="Arial" w:hAnsi="Arial" w:cs="Arial"/>
          <w:sz w:val="22"/>
          <w:szCs w:val="22"/>
        </w:rPr>
      </w:pPr>
    </w:p>
    <w:p w14:paraId="0000003F" w14:textId="77777777" w:rsidR="001F46CF" w:rsidRDefault="00000000" w:rsidP="00856AE3">
      <w:pPr>
        <w:pStyle w:val="Heading2"/>
        <w:rPr>
          <w:rFonts w:eastAsia="Arial"/>
          <w:sz w:val="22"/>
          <w:szCs w:val="22"/>
        </w:rPr>
      </w:pPr>
      <w:r>
        <w:rPr>
          <w:rFonts w:eastAsia="Arial"/>
        </w:rPr>
        <w:t>3. User Conduct</w:t>
      </w:r>
    </w:p>
    <w:p w14:paraId="00000040" w14:textId="77777777" w:rsidR="001F46CF" w:rsidRDefault="00000000">
      <w:pPr>
        <w:keepNext/>
        <w:keepLines/>
        <w:widowControl w:val="0"/>
        <w:numPr>
          <w:ilvl w:val="0"/>
          <w:numId w:val="5"/>
        </w:numPr>
        <w:rPr>
          <w:rFonts w:ascii="Arial" w:eastAsia="Arial" w:hAnsi="Arial" w:cs="Arial"/>
          <w:sz w:val="22"/>
          <w:szCs w:val="22"/>
        </w:rPr>
      </w:pPr>
      <w:r>
        <w:rPr>
          <w:rFonts w:ascii="Arial" w:eastAsia="Arial" w:hAnsi="Arial" w:cs="Arial"/>
          <w:sz w:val="22"/>
          <w:szCs w:val="22"/>
        </w:rPr>
        <w:t>You agree to use the Sandbox responsibly and ethically.</w:t>
      </w:r>
    </w:p>
    <w:p w14:paraId="00000041" w14:textId="77777777" w:rsidR="001F46CF" w:rsidRDefault="00000000">
      <w:pPr>
        <w:keepNext/>
        <w:keepLines/>
        <w:widowControl w:val="0"/>
        <w:numPr>
          <w:ilvl w:val="0"/>
          <w:numId w:val="5"/>
        </w:numPr>
        <w:rPr>
          <w:rFonts w:ascii="Arial" w:eastAsia="Arial" w:hAnsi="Arial" w:cs="Arial"/>
          <w:sz w:val="22"/>
          <w:szCs w:val="22"/>
        </w:rPr>
      </w:pPr>
      <w:r>
        <w:rPr>
          <w:rFonts w:ascii="Arial" w:eastAsia="Arial" w:hAnsi="Arial" w:cs="Arial"/>
          <w:sz w:val="22"/>
          <w:szCs w:val="22"/>
        </w:rPr>
        <w:t>You may not use the Sandbox for any illegal or harmful purposes.</w:t>
      </w:r>
    </w:p>
    <w:p w14:paraId="00000042" w14:textId="77777777" w:rsidR="001F46CF" w:rsidRDefault="00000000">
      <w:pPr>
        <w:keepNext/>
        <w:keepLines/>
        <w:widowControl w:val="0"/>
        <w:numPr>
          <w:ilvl w:val="0"/>
          <w:numId w:val="5"/>
        </w:numPr>
        <w:rPr>
          <w:rFonts w:ascii="Arial" w:eastAsia="Arial" w:hAnsi="Arial" w:cs="Arial"/>
          <w:sz w:val="22"/>
          <w:szCs w:val="22"/>
        </w:rPr>
      </w:pPr>
      <w:r>
        <w:rPr>
          <w:rFonts w:ascii="Arial" w:eastAsia="Arial" w:hAnsi="Arial" w:cs="Arial"/>
          <w:sz w:val="22"/>
          <w:szCs w:val="22"/>
        </w:rPr>
        <w:t>You may not attempt to access or modify any part of the Sandbox that is not User accessible.</w:t>
      </w:r>
    </w:p>
    <w:p w14:paraId="00000043" w14:textId="77777777" w:rsidR="001F46CF" w:rsidRDefault="001F46CF">
      <w:pPr>
        <w:keepNext/>
        <w:keepLines/>
        <w:widowControl w:val="0"/>
        <w:rPr>
          <w:rFonts w:ascii="Arial" w:eastAsia="Arial" w:hAnsi="Arial" w:cs="Arial"/>
          <w:sz w:val="22"/>
          <w:szCs w:val="22"/>
        </w:rPr>
      </w:pPr>
    </w:p>
    <w:p w14:paraId="00000044" w14:textId="77777777" w:rsidR="001F46CF" w:rsidRDefault="00000000" w:rsidP="00856AE3">
      <w:pPr>
        <w:pStyle w:val="Heading2"/>
        <w:rPr>
          <w:rFonts w:eastAsia="Arial"/>
          <w:sz w:val="22"/>
          <w:szCs w:val="22"/>
        </w:rPr>
      </w:pPr>
      <w:r>
        <w:rPr>
          <w:rFonts w:eastAsia="Arial"/>
        </w:rPr>
        <w:t>4. Intellectual Property</w:t>
      </w:r>
    </w:p>
    <w:p w14:paraId="00000045" w14:textId="77777777" w:rsidR="001F46CF" w:rsidRDefault="00000000">
      <w:pPr>
        <w:keepNext/>
        <w:keepLines/>
        <w:widowControl w:val="0"/>
        <w:rPr>
          <w:rFonts w:ascii="Arial" w:eastAsia="Arial" w:hAnsi="Arial" w:cs="Arial"/>
          <w:sz w:val="22"/>
          <w:szCs w:val="22"/>
        </w:rPr>
      </w:pPr>
      <w:r>
        <w:rPr>
          <w:rFonts w:ascii="Arial" w:eastAsia="Arial" w:hAnsi="Arial" w:cs="Arial"/>
          <w:sz w:val="22"/>
          <w:szCs w:val="22"/>
        </w:rPr>
        <w:t xml:space="preserve">All content on the Sandbox, including but not limited to the </w:t>
      </w:r>
      <w:proofErr w:type="spellStart"/>
      <w:r>
        <w:rPr>
          <w:rFonts w:ascii="Arial" w:eastAsia="Arial" w:hAnsi="Arial" w:cs="Arial"/>
          <w:sz w:val="22"/>
          <w:szCs w:val="22"/>
        </w:rPr>
        <w:t>SCOTiAI</w:t>
      </w:r>
      <w:proofErr w:type="spellEnd"/>
      <w:r>
        <w:rPr>
          <w:rFonts w:ascii="Arial" w:eastAsia="Arial" w:hAnsi="Arial" w:cs="Arial"/>
          <w:sz w:val="22"/>
          <w:szCs w:val="22"/>
        </w:rPr>
        <w:t xml:space="preserve"> agents, is owned by us or our licensors. You may not reproduce, distribute, or modify any such content without our prior written consent.</w:t>
      </w:r>
    </w:p>
    <w:p w14:paraId="00000046" w14:textId="77777777" w:rsidR="001F46CF" w:rsidRDefault="001F46CF">
      <w:pPr>
        <w:keepNext/>
        <w:keepLines/>
        <w:widowControl w:val="0"/>
        <w:rPr>
          <w:rFonts w:ascii="Arial" w:eastAsia="Arial" w:hAnsi="Arial" w:cs="Arial"/>
          <w:sz w:val="22"/>
          <w:szCs w:val="22"/>
        </w:rPr>
      </w:pPr>
    </w:p>
    <w:p w14:paraId="00000047" w14:textId="77777777" w:rsidR="001F46CF" w:rsidRDefault="00000000" w:rsidP="00856AE3">
      <w:pPr>
        <w:pStyle w:val="Heading2"/>
        <w:rPr>
          <w:rFonts w:eastAsia="Arial"/>
          <w:sz w:val="22"/>
          <w:szCs w:val="22"/>
        </w:rPr>
      </w:pPr>
      <w:r>
        <w:rPr>
          <w:rFonts w:eastAsia="Arial"/>
        </w:rPr>
        <w:t>5. Disclaimer of Warranties</w:t>
      </w:r>
    </w:p>
    <w:p w14:paraId="00000048" w14:textId="77777777" w:rsidR="001F46CF" w:rsidRDefault="00000000">
      <w:pPr>
        <w:keepNext/>
        <w:keepLines/>
        <w:widowControl w:val="0"/>
        <w:rPr>
          <w:rFonts w:ascii="Arial" w:eastAsia="Arial" w:hAnsi="Arial" w:cs="Arial"/>
          <w:sz w:val="22"/>
          <w:szCs w:val="22"/>
        </w:rPr>
      </w:pPr>
      <w:r>
        <w:rPr>
          <w:rFonts w:ascii="Arial" w:eastAsia="Arial" w:hAnsi="Arial" w:cs="Arial"/>
          <w:sz w:val="22"/>
          <w:szCs w:val="22"/>
        </w:rPr>
        <w:t xml:space="preserve">THE SANDBOX AND ITS CONTENTS ARE PROVIDED "AS IS" WITHOUT WARRANTY OF ANY KIND, EXPRESS OR IMPLIED, INCLUDING BUT NOT LIMITED TO WARRANTIES OF MERCHANTABILITY, FITNESS FOR A PARTICULAR PURPOSE, OR NON-INFRINGEMENT.   </w:t>
      </w:r>
    </w:p>
    <w:p w14:paraId="00000049" w14:textId="77777777" w:rsidR="001F46CF" w:rsidRDefault="001F46CF">
      <w:pPr>
        <w:keepNext/>
        <w:keepLines/>
        <w:widowControl w:val="0"/>
        <w:rPr>
          <w:rFonts w:ascii="Arial" w:eastAsia="Arial" w:hAnsi="Arial" w:cs="Arial"/>
          <w:sz w:val="22"/>
          <w:szCs w:val="22"/>
        </w:rPr>
      </w:pPr>
    </w:p>
    <w:p w14:paraId="0000004A" w14:textId="77777777" w:rsidR="001F46CF" w:rsidRDefault="00000000" w:rsidP="00856AE3">
      <w:pPr>
        <w:pStyle w:val="Heading2"/>
        <w:rPr>
          <w:rFonts w:eastAsia="Arial"/>
          <w:sz w:val="22"/>
          <w:szCs w:val="22"/>
        </w:rPr>
      </w:pPr>
      <w:r>
        <w:rPr>
          <w:rFonts w:eastAsia="Arial"/>
        </w:rPr>
        <w:t>6. Limitation of Liability</w:t>
      </w:r>
    </w:p>
    <w:p w14:paraId="0000004B" w14:textId="77777777" w:rsidR="001F46CF" w:rsidRDefault="00000000">
      <w:pPr>
        <w:keepNext/>
        <w:keepLines/>
        <w:widowControl w:val="0"/>
        <w:rPr>
          <w:rFonts w:ascii="Arial" w:eastAsia="Arial" w:hAnsi="Arial" w:cs="Arial"/>
          <w:sz w:val="22"/>
          <w:szCs w:val="22"/>
        </w:rPr>
      </w:pPr>
      <w:r>
        <w:rPr>
          <w:rFonts w:ascii="Arial" w:eastAsia="Arial" w:hAnsi="Arial" w:cs="Arial"/>
          <w:sz w:val="22"/>
          <w:szCs w:val="22"/>
        </w:rPr>
        <w:t xml:space="preserve">IN NO EVENT SHALL WE BE LIABLE FOR ANY INDIRECT, INCIDENTAL, SPECIAL, CONSEQUENTIAL, OR EXEMPLARY DAMAGES, INCLUDING BUT NOT LIMITED TO, DAMAGES FOR LOSS OF PROFITS, GOODWILL, USE, DATA, OR OTHER INTANGIBLE LOSSES, RESULTING FROM THE USE OR INABILITY TO USE THE SANDBOX.   </w:t>
      </w:r>
    </w:p>
    <w:p w14:paraId="0000004C" w14:textId="77777777" w:rsidR="001F46CF" w:rsidRDefault="001F46CF">
      <w:pPr>
        <w:keepNext/>
        <w:keepLines/>
        <w:widowControl w:val="0"/>
        <w:rPr>
          <w:rFonts w:ascii="Arial" w:eastAsia="Arial" w:hAnsi="Arial" w:cs="Arial"/>
          <w:sz w:val="22"/>
          <w:szCs w:val="22"/>
        </w:rPr>
      </w:pPr>
    </w:p>
    <w:p w14:paraId="0000004D" w14:textId="77777777" w:rsidR="001F46CF" w:rsidRDefault="00000000" w:rsidP="00856AE3">
      <w:pPr>
        <w:pStyle w:val="Heading2"/>
        <w:rPr>
          <w:rFonts w:eastAsia="Arial"/>
          <w:sz w:val="22"/>
          <w:szCs w:val="22"/>
        </w:rPr>
      </w:pPr>
      <w:r>
        <w:rPr>
          <w:rFonts w:eastAsia="Arial"/>
        </w:rPr>
        <w:t>7. Indemnification</w:t>
      </w:r>
    </w:p>
    <w:p w14:paraId="0000004E" w14:textId="77777777" w:rsidR="001F46CF" w:rsidRDefault="00000000">
      <w:pPr>
        <w:keepNext/>
        <w:keepLines/>
        <w:widowControl w:val="0"/>
        <w:rPr>
          <w:rFonts w:ascii="Arial" w:eastAsia="Arial" w:hAnsi="Arial" w:cs="Arial"/>
          <w:sz w:val="22"/>
          <w:szCs w:val="22"/>
        </w:rPr>
      </w:pPr>
      <w:r>
        <w:rPr>
          <w:rFonts w:ascii="Arial" w:eastAsia="Arial" w:hAnsi="Arial" w:cs="Arial"/>
          <w:sz w:val="22"/>
          <w:szCs w:val="22"/>
        </w:rPr>
        <w:t xml:space="preserve">You agree to indemnify and hold us harmless from any claims, damages, liabilities, costs, and expenses, including attorney's fees, arising from your use of the Sandbox or your violation of these Terms.   </w:t>
      </w:r>
    </w:p>
    <w:p w14:paraId="0000004F" w14:textId="77777777" w:rsidR="001F46CF" w:rsidRPr="00856AE3" w:rsidRDefault="00000000" w:rsidP="00856AE3">
      <w:pPr>
        <w:pStyle w:val="Heading2"/>
        <w:rPr>
          <w:rFonts w:eastAsia="Arial"/>
        </w:rPr>
      </w:pPr>
      <w:bookmarkStart w:id="14" w:name="_ojwv9s6dm1ve" w:colFirst="0" w:colLast="0"/>
      <w:bookmarkEnd w:id="14"/>
      <w:r>
        <w:rPr>
          <w:rFonts w:eastAsia="Arial"/>
        </w:rPr>
        <w:t>8. Termination</w:t>
      </w:r>
    </w:p>
    <w:p w14:paraId="00000050" w14:textId="77777777" w:rsidR="001F46CF" w:rsidRDefault="00000000">
      <w:pPr>
        <w:widowControl w:val="0"/>
        <w:rPr>
          <w:rFonts w:ascii="Arial" w:eastAsia="Arial" w:hAnsi="Arial" w:cs="Arial"/>
          <w:sz w:val="22"/>
          <w:szCs w:val="22"/>
        </w:rPr>
      </w:pPr>
      <w:r>
        <w:rPr>
          <w:rFonts w:ascii="Arial" w:eastAsia="Arial" w:hAnsi="Arial" w:cs="Arial"/>
          <w:sz w:val="22"/>
          <w:szCs w:val="22"/>
        </w:rPr>
        <w:t>We may terminate your access to the Sandbox at any time, without notice, for any reason.</w:t>
      </w:r>
    </w:p>
    <w:p w14:paraId="00000051" w14:textId="77777777" w:rsidR="001F46CF" w:rsidRPr="00856AE3" w:rsidRDefault="00000000" w:rsidP="00856AE3">
      <w:pPr>
        <w:pStyle w:val="Heading2"/>
        <w:rPr>
          <w:rFonts w:eastAsia="Arial"/>
        </w:rPr>
      </w:pPr>
      <w:bookmarkStart w:id="15" w:name="_kjetxycx05s2" w:colFirst="0" w:colLast="0"/>
      <w:bookmarkEnd w:id="15"/>
      <w:r>
        <w:rPr>
          <w:rFonts w:eastAsia="Arial"/>
        </w:rPr>
        <w:t>9. Governing Law</w:t>
      </w:r>
    </w:p>
    <w:p w14:paraId="00000052" w14:textId="77777777" w:rsidR="001F46CF" w:rsidRDefault="00000000">
      <w:pPr>
        <w:widowControl w:val="0"/>
        <w:rPr>
          <w:rFonts w:ascii="Arial" w:eastAsia="Arial" w:hAnsi="Arial" w:cs="Arial"/>
          <w:sz w:val="22"/>
          <w:szCs w:val="22"/>
        </w:rPr>
      </w:pPr>
      <w:r>
        <w:rPr>
          <w:rFonts w:ascii="Arial" w:eastAsia="Arial" w:hAnsi="Arial" w:cs="Arial"/>
          <w:sz w:val="22"/>
          <w:szCs w:val="22"/>
        </w:rPr>
        <w:t>These Terms shall be governed by and construed in accordance with the laws of New South Wales, Australia.</w:t>
      </w:r>
    </w:p>
    <w:p w14:paraId="00000053" w14:textId="77777777" w:rsidR="001F46CF" w:rsidRDefault="001F46CF">
      <w:pPr>
        <w:widowControl w:val="0"/>
        <w:rPr>
          <w:rFonts w:ascii="Arial" w:eastAsia="Arial" w:hAnsi="Arial" w:cs="Arial"/>
          <w:sz w:val="22"/>
          <w:szCs w:val="22"/>
        </w:rPr>
      </w:pPr>
    </w:p>
    <w:p w14:paraId="00000054" w14:textId="64696D75" w:rsidR="00D122A2" w:rsidRDefault="00D122A2">
      <w:r>
        <w:br w:type="page"/>
      </w:r>
    </w:p>
    <w:p w14:paraId="06E387B2" w14:textId="7D37D207" w:rsidR="00DE3F61" w:rsidRPr="00DE3F61" w:rsidRDefault="00DE3F61" w:rsidP="00856AE3">
      <w:pPr>
        <w:pStyle w:val="Heading1"/>
      </w:pPr>
      <w:r w:rsidRPr="00DE3F61">
        <w:lastRenderedPageBreak/>
        <w:t>Sandbox Deployment Architecture</w:t>
      </w:r>
      <w:r>
        <w:t>:</w:t>
      </w:r>
    </w:p>
    <w:p w14:paraId="27591D8E" w14:textId="77777777" w:rsidR="00DE3F61" w:rsidRDefault="00DE3F61"/>
    <w:p w14:paraId="3B9903CF" w14:textId="7D2B72E4" w:rsidR="001F46CF" w:rsidRDefault="00D122A2">
      <w:r>
        <w:rPr>
          <w:noProof/>
        </w:rPr>
        <w:drawing>
          <wp:inline distT="0" distB="0" distL="0" distR="0" wp14:anchorId="42BE4B62" wp14:editId="5F59E31A">
            <wp:extent cx="5731510" cy="3230245"/>
            <wp:effectExtent l="0" t="0" r="2540" b="8255"/>
            <wp:docPr id="60367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72992" name="Picture 60367299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30245"/>
                    </a:xfrm>
                    <a:prstGeom prst="rect">
                      <a:avLst/>
                    </a:prstGeom>
                  </pic:spPr>
                </pic:pic>
              </a:graphicData>
            </a:graphic>
          </wp:inline>
        </w:drawing>
      </w:r>
    </w:p>
    <w:sectPr w:rsidR="001F46CF">
      <w:pgSz w:w="11906" w:h="16838"/>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20697"/>
    <w:multiLevelType w:val="multilevel"/>
    <w:tmpl w:val="10307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2031E6"/>
    <w:multiLevelType w:val="multilevel"/>
    <w:tmpl w:val="0E809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4D3762"/>
    <w:multiLevelType w:val="multilevel"/>
    <w:tmpl w:val="E1D67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681E0D"/>
    <w:multiLevelType w:val="multilevel"/>
    <w:tmpl w:val="3E9C7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3E723A"/>
    <w:multiLevelType w:val="multilevel"/>
    <w:tmpl w:val="E6B2C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8337DA"/>
    <w:multiLevelType w:val="multilevel"/>
    <w:tmpl w:val="CAB2C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18618299">
    <w:abstractNumId w:val="3"/>
  </w:num>
  <w:num w:numId="2" w16cid:durableId="1230769096">
    <w:abstractNumId w:val="5"/>
  </w:num>
  <w:num w:numId="3" w16cid:durableId="36976560">
    <w:abstractNumId w:val="2"/>
  </w:num>
  <w:num w:numId="4" w16cid:durableId="1819420295">
    <w:abstractNumId w:val="0"/>
  </w:num>
  <w:num w:numId="5" w16cid:durableId="456342504">
    <w:abstractNumId w:val="4"/>
  </w:num>
  <w:num w:numId="6" w16cid:durableId="1937521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6CF"/>
    <w:rsid w:val="001F46CF"/>
    <w:rsid w:val="00453F3F"/>
    <w:rsid w:val="00856AE3"/>
    <w:rsid w:val="00D122A2"/>
    <w:rsid w:val="00DE3F61"/>
    <w:rsid w:val="00E527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B166"/>
  <w15:docId w15:val="{338748D3-9077-4E15-9A48-B437E7C2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1289</Words>
  <Characters>7353</Characters>
  <Application>Microsoft Office Word</Application>
  <DocSecurity>0</DocSecurity>
  <Lines>61</Lines>
  <Paragraphs>17</Paragraphs>
  <ScaleCrop>false</ScaleCrop>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 Chapman</cp:lastModifiedBy>
  <cp:revision>3</cp:revision>
  <cp:lastPrinted>2024-08-15T10:26:00Z</cp:lastPrinted>
  <dcterms:created xsi:type="dcterms:W3CDTF">2024-08-15T21:29:00Z</dcterms:created>
  <dcterms:modified xsi:type="dcterms:W3CDTF">2024-08-15T21:43:00Z</dcterms:modified>
</cp:coreProperties>
</file>