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pBdr>
          <w:bottom w:val="single" w:color="1A56DB" w:sz="6" w:space="20"/>
        </w:pBdr>
        <w:spacing w:after="200"/>
        <w:jc w:val="center"/>
      </w:pPr>
      <w:r>
        <w:rPr>
          <w:rFonts w:ascii="Georgia" w:cs="Georgia" w:eastAsia="Georgia" w:hAnsi="Georgia"/>
          <w:b/>
          <w:bCs/>
          <w:color w:val="1A56DB"/>
          <w:sz w:val="48"/>
          <w:szCs w:val="48"/>
        </w:rPr>
        <w:t xml:space="preserve">ПРАВИЛА ПРОЕКТИРОВАНИЯ</w:t>
      </w:r>
    </w:p>
    <w:p>
      <w:pPr>
        <w:spacing w:before="200" w:after="100"/>
        <w:jc w:val="center"/>
      </w:pPr>
      <w:r>
        <w:rPr>
          <w:rFonts w:ascii="Georgia" w:cs="Georgia" w:eastAsia="Georgia" w:hAnsi="Georgia"/>
          <w:color w:val="111827"/>
          <w:sz w:val="40"/>
          <w:szCs w:val="40"/>
        </w:rPr>
        <w:t xml:space="preserve">B2B eCommerce Платформы</w:t>
      </w:r>
    </w:p>
    <w:p>
      <w:pPr>
        <w:spacing w:before="100" w:after="400"/>
        <w:jc w:val="center"/>
      </w:pPr>
      <w:r>
        <w:rPr>
          <w:rFonts w:ascii="Georgia" w:cs="Georgia" w:eastAsia="Georgia" w:hAnsi="Georgia"/>
          <w:color w:val="4B5563"/>
          <w:sz w:val="32"/>
          <w:szCs w:val="32"/>
        </w:rPr>
        <w:t xml:space="preserve">UX/UI Часть</w:t>
      </w:r>
    </w:p>
    <w:p>
      <w:pPr>
        <w:spacing w:before="600" w:after="0"/>
      </w:pPr>
    </w:p>
    <w:p>
      <w:pPr>
        <w:jc w:val="center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Основано на анализе успешных платформ:</w:t>
      </w:r>
    </w:p>
    <w:p>
      <w:pPr>
        <w:spacing w:before="80"/>
        <w:jc w:val="center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Alibaba • Amazon Business • Grainger • SAP Ariba • 3M • MSC Direct</w:t>
      </w:r>
    </w:p>
    <w:p>
      <w:pPr>
        <w:spacing w:before="40"/>
        <w:jc w:val="center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Fastenal • Schneider Electric • Siemens Healthineers • ThomasNet</w:t>
      </w:r>
    </w:p>
    <w:p>
      <w:pPr>
        <w:spacing w:before="800" w:after="0"/>
      </w:pPr>
    </w:p>
    <w:p>
      <w:pPr>
        <w:jc w:val="center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Март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111827"/>
          <w:sz w:val="36"/>
          <w:szCs w:val="36"/>
        </w:rPr>
        <w:t xml:space="preserve">Введение</w:t>
      </w:r>
    </w:p>
    <w:p>
      <w:pPr>
        <w:spacing w:before="80" w:after="80" w:line="320"/>
        <w:jc w:val="left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Этот документ представляет собой свод правил по проектированию UX/UI для B2B eCommerce платформ, составленный на основе анализа успешных мировых платформ, исследований Baymard Institute, Nielsen Norman Group и лучших практик индустрии. Каждое правило сопровождается конкретными рекомендациями «делай/не делай».</w:t>
      </w:r>
    </w:p>
    <w:p>
      <w:pPr>
        <w:spacing w:before="80" w:after="80" w:line="320"/>
        <w:jc w:val="left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Ключевой инсайт: 90% B2B-покупателей ожидают B2C-подобный опыт на B2B-сайтах, но с дополнительными возможностями для бизнес-процессов. При этом 85% считают, что их текущий опыт можно улучшить.</w:t>
      </w:r>
    </w:p>
    <w:p>
      <w:pPr>
        <w:spacing w:before="200" w:after="0"/>
      </w:pP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111827"/>
          <w:sz w:val="36"/>
          <w:szCs w:val="36"/>
        </w:rPr>
        <w:t xml:space="preserve">I. Информационная архитектура и навигация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A56DB" w:sz="2"/>
              <w:right w:val="none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56DB"/>
                <w:sz w:val="24"/>
                <w:szCs w:val="24"/>
              </w:rPr>
              <w:t xml:space="preserve">█ Правило 1.1: </w:t>
            </w:r>
            <w:r>
              <w:rPr>
                <w:rFonts w:ascii="Georgia" w:cs="Georgia" w:eastAsia="Georgia" w:hAnsi="Georgia"/>
                <w:b/>
                <w:bCs/>
                <w:color w:val="111827"/>
                <w:sz w:val="24"/>
                <w:szCs w:val="24"/>
              </w:rPr>
              <w:t xml:space="preserve">Мультимодальная навигация по каталогу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4B5563"/>
                <w:sz w:val="22"/>
                <w:szCs w:val="22"/>
              </w:rPr>
              <w:t xml:space="preserve">B2B-покупатели ищут товары по-разному: по категории, по SKU, по бренду, по отрасли, по техническим характеристикам. Навигация должна поддерживать все эти паттерны. Grainger и 3M сегментируют каталог по отраслям, а Alibaba использует многоуровневую категоризацию.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✅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Меню с группировкой по отрасли, продукту, решению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Поиск по SKU/артикулу напрямую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Mega-menu с превью категорий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Хлебные крошки на всех уровнях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❌ НЕ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Одномерная навигация только по категориям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Поиск без поддержки SKU/артикулов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Глубокая вложенность без быстрого возврата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Прятать навигацию полностью в бургер-меню на десктопе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A56DB" w:sz="2"/>
              <w:right w:val="none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56DB"/>
                <w:sz w:val="24"/>
                <w:szCs w:val="24"/>
              </w:rPr>
              <w:t xml:space="preserve">█ Правило 1.2: </w:t>
            </w:r>
            <w:r>
              <w:rPr>
                <w:rFonts w:ascii="Georgia" w:cs="Georgia" w:eastAsia="Georgia" w:hAnsi="Georgia"/>
                <w:b/>
                <w:bCs/>
                <w:color w:val="111827"/>
                <w:sz w:val="24"/>
                <w:szCs w:val="24"/>
              </w:rPr>
              <w:t xml:space="preserve">Интеллектуальный поиск с фасетной фильтрацией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4B5563"/>
                <w:sz w:val="22"/>
                <w:szCs w:val="22"/>
              </w:rPr>
              <w:t xml:space="preserve">Поиск — ключевой инструмент B2B. Amazon Business и MSC Direct используют AI-рекомендации и фасетную фильтрацию для каталогов с сотнями тысяч SKU. Поиск должен понимать технические термины, синонимы и номера деталей.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✅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Autocomplete с подсказками по категориям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Фильтры: цена, бренд, наличие, характеристики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Сохранение поисковых запросов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Поиск по тех. характеристикам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❌ НЕ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Только полнотекстовый поиск без фильтров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Нерелевантные результаты без ранжирования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Отсутствие подсказок при нулевом результате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Сброс фильтров при каждом новом запросе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A56DB" w:sz="2"/>
              <w:right w:val="none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56DB"/>
                <w:sz w:val="24"/>
                <w:szCs w:val="24"/>
              </w:rPr>
              <w:t xml:space="preserve">█ Правило 1.3: </w:t>
            </w:r>
            <w:r>
              <w:rPr>
                <w:rFonts w:ascii="Georgia" w:cs="Georgia" w:eastAsia="Georgia" w:hAnsi="Georgia"/>
                <w:b/>
                <w:bCs/>
                <w:color w:val="111827"/>
                <w:sz w:val="24"/>
                <w:szCs w:val="24"/>
              </w:rPr>
              <w:t xml:space="preserve">Сегментация по отраслям/ролям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4B5563"/>
                <w:sz w:val="22"/>
                <w:szCs w:val="22"/>
              </w:rPr>
              <w:t xml:space="preserve">3M создаёт отдельные порталы по отраслям (healthcare, electronics, transportation). Каждый портал показывает только релевантные продукты, спецификации и конфигураторы. Это убирает информационный шум и ускоряет поиск.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✅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Отраслевые порталы с релевантным контентом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Адаптация интерфейса под роль пользователя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Гейтинг контента для power-users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❌ НЕ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Один интерфейс для всех типов клиентов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Показывать все SKU без контекста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Игнорировать различия между ролями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111827"/>
          <w:sz w:val="36"/>
          <w:szCs w:val="36"/>
        </w:rPr>
        <w:t xml:space="preserve">II. Страница продукта (PDP)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A56DB" w:sz="2"/>
              <w:right w:val="none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56DB"/>
                <w:sz w:val="24"/>
                <w:szCs w:val="24"/>
              </w:rPr>
              <w:t xml:space="preserve">█ Правило 2.1: </w:t>
            </w:r>
            <w:r>
              <w:rPr>
                <w:rFonts w:ascii="Georgia" w:cs="Georgia" w:eastAsia="Georgia" w:hAnsi="Georgia"/>
                <w:b/>
                <w:bCs/>
                <w:color w:val="111827"/>
                <w:sz w:val="24"/>
                <w:szCs w:val="24"/>
              </w:rPr>
              <w:t xml:space="preserve">Расширенные B2B-атрибуты товара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4B5563"/>
                <w:sz w:val="22"/>
                <w:szCs w:val="22"/>
              </w:rPr>
              <w:t xml:space="preserve">Помимо стандартных B2C-элементов (фото, описание, цена), B2B-карточка товара должна содержать: текущее наличие (склад/локация), SKU/артикул, RRP (рекомендованная розничная цена), MOQ (минимальный заказ), возможность оптового заказа и ступенчатое ценообразование.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✅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Показывать наличие в реальном времени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Выделять SKU визуально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Показывать таблицу цен по объёмам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Кнопка «Запросить коммерческое предложение»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❌ НЕ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Скрывать цену за регистрацией без объяснения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Игнорировать MOQ и условия поставки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Простой «В корзину» без выбора количества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Отсутствие тех. документации (PDF, спецификации)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A56DB" w:sz="2"/>
              <w:right w:val="none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56DB"/>
                <w:sz w:val="24"/>
                <w:szCs w:val="24"/>
              </w:rPr>
              <w:t xml:space="preserve">█ Правило 2.2: </w:t>
            </w:r>
            <w:r>
              <w:rPr>
                <w:rFonts w:ascii="Georgia" w:cs="Georgia" w:eastAsia="Georgia" w:hAnsi="Georgia"/>
                <w:b/>
                <w:bCs/>
                <w:color w:val="111827"/>
                <w:sz w:val="24"/>
                <w:szCs w:val="24"/>
              </w:rPr>
              <w:t xml:space="preserve">Конфигураторы и кастомизация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4B5563"/>
                <w:sz w:val="22"/>
                <w:szCs w:val="22"/>
              </w:rPr>
              <w:t xml:space="preserve">Многие B2B-товары требуют настройки: размер, материал, цвет, комплектация. Конфигуратор должен быть интуитивным, показывать изменение цены в реальном времени и позволять сохранять конфигурации для повторного заказа.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✅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Пошаговый конфигуратор с визуализацией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Динамическое обновление цены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Сохранение конфигураций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❌ НЕ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Раскидывать опции по нескольким страницам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Не показывать итоговую стоимость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Терять конфигурацию при обновлении страницы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A56DB" w:sz="2"/>
              <w:right w:val="none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56DB"/>
                <w:sz w:val="24"/>
                <w:szCs w:val="24"/>
              </w:rPr>
              <w:t xml:space="preserve">█ Правило 2.3: </w:t>
            </w:r>
            <w:r>
              <w:rPr>
                <w:rFonts w:ascii="Georgia" w:cs="Georgia" w:eastAsia="Georgia" w:hAnsi="Georgia"/>
                <w:b/>
                <w:bCs/>
                <w:color w:val="111827"/>
                <w:sz w:val="24"/>
                <w:szCs w:val="24"/>
              </w:rPr>
              <w:t xml:space="preserve">Сравнение товаров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4B5563"/>
                <w:sz w:val="22"/>
                <w:szCs w:val="22"/>
              </w:rPr>
              <w:t xml:space="preserve">MSC Direct предоставляет инструмент сравнения продуктов по техническим характеристикам. Это критично для B2B, где выбор часто основан на спецификациях, а не на внешнем виде.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✅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Сравнение side-by-side с подсветкой различий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До 4-5 товаров одновременно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Возможность добавить в корзину из сравнения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❌ НЕ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Ограничивать сравнение 2 товарами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Не подсвечивать различия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Терять список сравнения при переходе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111827"/>
          <w:sz w:val="36"/>
          <w:szCs w:val="36"/>
        </w:rPr>
        <w:t xml:space="preserve">III. Корзина, чекаут и заказ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A56DB" w:sz="2"/>
              <w:right w:val="none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56DB"/>
                <w:sz w:val="24"/>
                <w:szCs w:val="24"/>
              </w:rPr>
              <w:t xml:space="preserve">█ Правило 3.1: </w:t>
            </w:r>
            <w:r>
              <w:rPr>
                <w:rFonts w:ascii="Georgia" w:cs="Georgia" w:eastAsia="Georgia" w:hAnsi="Georgia"/>
                <w:b/>
                <w:bCs/>
                <w:color w:val="111827"/>
                <w:sz w:val="24"/>
                <w:szCs w:val="24"/>
              </w:rPr>
              <w:t xml:space="preserve">Быстрый повторный заказ (Quick Reorder)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4B5563"/>
                <w:sz w:val="22"/>
                <w:szCs w:val="22"/>
              </w:rPr>
              <w:t xml:space="preserve">В отличие от B2C, B2B-покупатели регулярно заказывают одни и те же товары. Grainger делает повторный заказ в 1 клик. Покупатели, завершающие заказ менее чем за 5 минут, показывают на 40% более высокий повторный покупок.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✅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Кнопка «Повторить заказ» в истории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Списки закупок (shopping lists)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Загрузка заказа из CSV/Excel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Регулярные заказы по расписанию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❌ НЕ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Заставлять искать каждый товар заново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Не сохранять предыдущие заказы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Ограничивать импорт данных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Не предлагать автоматизацию повторных закупок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A56DB" w:sz="2"/>
              <w:right w:val="none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56DB"/>
                <w:sz w:val="24"/>
                <w:szCs w:val="24"/>
              </w:rPr>
              <w:t xml:space="preserve">█ Правило 3.2: </w:t>
            </w:r>
            <w:r>
              <w:rPr>
                <w:rFonts w:ascii="Georgia" w:cs="Georgia" w:eastAsia="Georgia" w:hAnsi="Georgia"/>
                <w:b/>
                <w:bCs/>
                <w:color w:val="111827"/>
                <w:sz w:val="24"/>
                <w:szCs w:val="24"/>
              </w:rPr>
              <w:t xml:space="preserve">Многоуровневый чекаут с аппрувами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4B5563"/>
                <w:sz w:val="22"/>
                <w:szCs w:val="22"/>
              </w:rPr>
              <w:t xml:space="preserve">B2B-заказы часто требуют согласования. Сотрудник собирает корзину, менеджер утверждает, финансы оплачивают. Интерфейс должен поддерживать эту цепочку прозрачно и без трения.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✅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Визуальный статус согласования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Уведомления на каждом этапе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Перенаправление корзины другому утверждающему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Мобильное утверждение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❌ НЕ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Чекаут только для одного пользователя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Непрозрачный статус заказа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Отсутствие ролевых прав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Принудительная регистрация нового аккаунта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A56DB" w:sz="2"/>
              <w:right w:val="none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56DB"/>
                <w:sz w:val="24"/>
                <w:szCs w:val="24"/>
              </w:rPr>
              <w:t xml:space="preserve">█ Правило 3.3: </w:t>
            </w:r>
            <w:r>
              <w:rPr>
                <w:rFonts w:ascii="Georgia" w:cs="Georgia" w:eastAsia="Georgia" w:hAnsi="Georgia"/>
                <w:b/>
                <w:bCs/>
                <w:color w:val="111827"/>
                <w:sz w:val="24"/>
                <w:szCs w:val="24"/>
              </w:rPr>
              <w:t xml:space="preserve">Гибкие способы оплаты и RFQ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4B5563"/>
                <w:sz w:val="22"/>
                <w:szCs w:val="22"/>
              </w:rPr>
              <w:t xml:space="preserve">B2B-оплата радикально отличается от B2C: оплата по счёту, net-30/60/90, кредитные линии, PO (Purchase Orders). Alibaba и SAP Ariba позволяют отправлять RFQ напрямую из корзины. Переключение между RFQ и прямой покупкой должно быть бесшовным.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✅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Поддержка PO, счетов, net-условий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RFQ прямо из корзины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Прозрачная разбивка: товар, доставка, налоги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Скачивание счетов в PDF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❌ НЕ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Только карточная оплата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Скрывать дополнительные расходы до финального шага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Не поддерживать PO-номера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Закрытые формы RFQ без фидбэка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A56DB" w:sz="2"/>
              <w:right w:val="none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56DB"/>
                <w:sz w:val="24"/>
                <w:szCs w:val="24"/>
              </w:rPr>
              <w:t xml:space="preserve">█ Правило 3.4: </w:t>
            </w:r>
            <w:r>
              <w:rPr>
                <w:rFonts w:ascii="Georgia" w:cs="Georgia" w:eastAsia="Georgia" w:hAnsi="Georgia"/>
                <w:b/>
                <w:bCs/>
                <w:color w:val="111827"/>
                <w:sz w:val="24"/>
                <w:szCs w:val="24"/>
              </w:rPr>
              <w:t xml:space="preserve">Управление бюджетом и кост-центрами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4B5563"/>
                <w:sz w:val="22"/>
                <w:szCs w:val="22"/>
              </w:rPr>
              <w:t xml:space="preserve">Предприятия часто распределяют закупки по бюджетам отделов или кост-центрам. Интерфейс должен показывать остаток бюджета на этапе чекаута и предупреждать о превышении.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✅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Остаток бюджета виден при чекауте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Эскалация при превышении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Привязка заказа к кост-центру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❌ НЕ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Игнорировать бюджетные ограничения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Не давать привязывать заказ к отделу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Отклонять заказ без объяснения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111827"/>
          <w:sz w:val="36"/>
          <w:szCs w:val="36"/>
        </w:rPr>
        <w:t xml:space="preserve">IV. Личный кабинет и персонализация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A56DB" w:sz="2"/>
              <w:right w:val="none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56DB"/>
                <w:sz w:val="24"/>
                <w:szCs w:val="24"/>
              </w:rPr>
              <w:t xml:space="preserve">█ Правило 4.1: </w:t>
            </w:r>
            <w:r>
              <w:rPr>
                <w:rFonts w:ascii="Georgia" w:cs="Georgia" w:eastAsia="Georgia" w:hAnsi="Georgia"/>
                <w:b/>
                <w:bCs/>
                <w:color w:val="111827"/>
                <w:sz w:val="24"/>
                <w:szCs w:val="24"/>
              </w:rPr>
              <w:t xml:space="preserve">Ролевой доступ и иерархия аккаунтов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4B5563"/>
                <w:sz w:val="22"/>
                <w:szCs w:val="22"/>
              </w:rPr>
              <w:t xml:space="preserve">Grainger и Amazon Business поддерживают многопользовательские аккаунты с ролями: покупатель, утверждающий, администратор, финансы. Каждая роль видит только релевантные функции и данные.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✅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Ролевые права: покупатель/менеджер/админ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Персонализированный дашборд по роли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История заказов с фильтрами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Управление пользователями внутри компании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❌ НЕ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Один логин на всю компанию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Одинаковый интерфейс для всех ролей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Нет аудита действий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Сложная настройка прав доступа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A56DB" w:sz="2"/>
              <w:right w:val="none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56DB"/>
                <w:sz w:val="24"/>
                <w:szCs w:val="24"/>
              </w:rPr>
              <w:t xml:space="preserve">█ Правило 4.2: </w:t>
            </w:r>
            <w:r>
              <w:rPr>
                <w:rFonts w:ascii="Georgia" w:cs="Georgia" w:eastAsia="Georgia" w:hAnsi="Georgia"/>
                <w:b/>
                <w:bCs/>
                <w:color w:val="111827"/>
                <w:sz w:val="24"/>
                <w:szCs w:val="24"/>
              </w:rPr>
              <w:t xml:space="preserve">Персонализация цен и каталога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4B5563"/>
                <w:sz w:val="22"/>
                <w:szCs w:val="22"/>
              </w:rPr>
              <w:t xml:space="preserve">В B2B каждый клиент может видеть свои цены, скидки и условия. MSC Direct показывает персонализированные цены и рекомендации сразу после логина. Это ускоряет закупку и снижает ошибки.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✅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Контрактные цены после логина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Объёмные скидки видны сразу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Персональные рекомендации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Каталог адаптирован под клиента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❌ НЕ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Единые цены для всех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Скрывать цены до запроса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Не учитывать историю покупок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Одинаковый каталог для всех сегментов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A56DB" w:sz="2"/>
              <w:right w:val="none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56DB"/>
                <w:sz w:val="24"/>
                <w:szCs w:val="24"/>
              </w:rPr>
              <w:t xml:space="preserve">█ Правило 4.3: </w:t>
            </w:r>
            <w:r>
              <w:rPr>
                <w:rFonts w:ascii="Georgia" w:cs="Georgia" w:eastAsia="Georgia" w:hAnsi="Georgia"/>
                <w:b/>
                <w:bCs/>
                <w:color w:val="111827"/>
                <w:sz w:val="24"/>
                <w:szCs w:val="24"/>
              </w:rPr>
              <w:t xml:space="preserve">Дашборд аккаунта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4B5563"/>
                <w:sz w:val="22"/>
                <w:szCs w:val="22"/>
              </w:rPr>
              <w:t xml:space="preserve">Дашборд — центр управления B2B-аккаунтом. Он должен объединять: активные заказы, историю, счета, управление пользователями, аналитику расходов и быстрые действия (повтор заказа, скачивание счётов, трекинг).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✅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Обзор активных заказов на главной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Быстрые действия в 1 клик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Аналитика расходов и трендов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Уведомления о статусах заказов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❌ НЕ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Перегруженный интерфейс без приоритизации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Отсутствие экспорта данных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Только текст без визуализации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Нет фильтрации истории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111827"/>
          <w:sz w:val="36"/>
          <w:szCs w:val="36"/>
        </w:rPr>
        <w:t xml:space="preserve">V. Визуальный дизайн и UI-компоненты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A56DB" w:sz="2"/>
              <w:right w:val="none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56DB"/>
                <w:sz w:val="24"/>
                <w:szCs w:val="24"/>
              </w:rPr>
              <w:t xml:space="preserve">█ Правило 5.1: </w:t>
            </w:r>
            <w:r>
              <w:rPr>
                <w:rFonts w:ascii="Georgia" w:cs="Georgia" w:eastAsia="Georgia" w:hAnsi="Georgia"/>
                <w:b/>
                <w:bCs/>
                <w:color w:val="111827"/>
                <w:sz w:val="24"/>
                <w:szCs w:val="24"/>
              </w:rPr>
              <w:t xml:space="preserve">Кларити и профессионализм вместо эффектов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4B5563"/>
                <w:sz w:val="22"/>
                <w:szCs w:val="22"/>
              </w:rPr>
              <w:t xml:space="preserve">B2B UI должен быть профессиональным, чистым и функциональным. Фокус на читаемость, визуальную иерархию и эффективность. Стандартные компоненты (Material Design, shadcn/ui) работают лучше кастомных изобретений.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✅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Стандартные UI-компоненты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Чёткая типографика и иерархия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Консистентный дизайн-система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Акцент на контент и данные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❌ НЕ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Кастомные нестандартные компоненты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Избыточные анимации и эффекты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Низкий контраст текста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Неконсистентные стили между страницами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A56DB" w:sz="2"/>
              <w:right w:val="none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56DB"/>
                <w:sz w:val="24"/>
                <w:szCs w:val="24"/>
              </w:rPr>
              <w:t xml:space="preserve">█ Правило 5.2: </w:t>
            </w:r>
            <w:r>
              <w:rPr>
                <w:rFonts w:ascii="Georgia" w:cs="Georgia" w:eastAsia="Georgia" w:hAnsi="Georgia"/>
                <w:b/>
                <w:bCs/>
                <w:color w:val="111827"/>
                <w:sz w:val="24"/>
                <w:szCs w:val="24"/>
              </w:rPr>
              <w:t xml:space="preserve">Таблицы и data-dense интерфейсы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4B5563"/>
                <w:sz w:val="22"/>
                <w:szCs w:val="22"/>
              </w:rPr>
              <w:t xml:space="preserve">B2B-пользователи работают с большими объёмами данных: списки заказов, счета, каталоги с тысячами SKU. Таблицы должны поддерживать сортировку, фильтрацию, пагинацию и быстрые действия (bulk actions).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✅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Сортировка по всем колонкам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Bulk actions (выбрать все → действие)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Экспорт в CSV/Excel/PDF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Адаптивные колонки (скрыть/показать)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❌ НЕ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Фиксированные таблицы без сортировки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Отсутствие пагинации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Нет возможности экспорта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Таблицы не адаптивны на мобильных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A56DB" w:sz="2"/>
              <w:right w:val="none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56DB"/>
                <w:sz w:val="24"/>
                <w:szCs w:val="24"/>
              </w:rPr>
              <w:t xml:space="preserve">█ Правило 5.3: </w:t>
            </w:r>
            <w:r>
              <w:rPr>
                <w:rFonts w:ascii="Georgia" w:cs="Georgia" w:eastAsia="Georgia" w:hAnsi="Georgia"/>
                <w:b/>
                <w:bCs/>
                <w:color w:val="111827"/>
                <w:sz w:val="24"/>
                <w:szCs w:val="24"/>
              </w:rPr>
              <w:t xml:space="preserve">Адаптивность и мобильный опыт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4B5563"/>
                <w:sz w:val="22"/>
                <w:szCs w:val="22"/>
              </w:rPr>
              <w:t xml:space="preserve">B2B-покупатели всё чаще используют мобильные устройства для утверждения заказов, быстрых закупок «в поле» и проверки статусов. Мобильный опыт должен быть полноценным, а не урезанным.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✅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Responsive дизайн или PWA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Мобильное утверждение заказов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Тач-френдли контролы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Быстрые действия на мобильном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❌ НЕ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Десктоп-only интерфейс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Мелкие кнопки и ссылки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Урезанный функционал на мобильном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Неоптимизированные таблицы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111827"/>
          <w:sz w:val="36"/>
          <w:szCs w:val="36"/>
        </w:rPr>
        <w:t xml:space="preserve">VI. Доверие, поддержка и контент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A56DB" w:sz="2"/>
              <w:right w:val="none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56DB"/>
                <w:sz w:val="24"/>
                <w:szCs w:val="24"/>
              </w:rPr>
              <w:t xml:space="preserve">█ Правило 6.1: </w:t>
            </w:r>
            <w:r>
              <w:rPr>
                <w:rFonts w:ascii="Georgia" w:cs="Georgia" w:eastAsia="Georgia" w:hAnsi="Georgia"/>
                <w:b/>
                <w:bCs/>
                <w:color w:val="111827"/>
                <w:sz w:val="24"/>
                <w:szCs w:val="24"/>
              </w:rPr>
              <w:t xml:space="preserve">Элементы доверия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4B5563"/>
                <w:sz w:val="22"/>
                <w:szCs w:val="22"/>
              </w:rPr>
              <w:t xml:space="preserve">B2B-заказы часто на сотни тысяч долларов. Доверие критично. Alibaba использует Verified Supplier бейджи, сертификаты и отзывы. Каждая страница должна подтверждать надёжность платформы.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✅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Верифицированные поставщики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Сертификаты и кейсы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Страхование сделок / Trade Assurance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Отзывы от бизнесов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❌ НЕ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Отсутствие социального доказательства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Нет SSL/индикаторов безопасности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Непрозрачные условия возврата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Нет контактной информации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A56DB" w:sz="2"/>
              <w:right w:val="none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56DB"/>
                <w:sz w:val="24"/>
                <w:szCs w:val="24"/>
              </w:rPr>
              <w:t xml:space="preserve">█ Правило 6.2: </w:t>
            </w:r>
            <w:r>
              <w:rPr>
                <w:rFonts w:ascii="Georgia" w:cs="Georgia" w:eastAsia="Georgia" w:hAnsi="Georgia"/>
                <w:b/>
                <w:bCs/>
                <w:color w:val="111827"/>
                <w:sz w:val="24"/>
                <w:szCs w:val="24"/>
              </w:rPr>
              <w:t xml:space="preserve">Омниканальная поддержка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4B5563"/>
                <w:sz w:val="22"/>
                <w:szCs w:val="22"/>
              </w:rPr>
              <w:t xml:space="preserve">Grainger предлагает поддержку через чат, телефон и email — без ботов, которые гоняют по кругу. Консультация эксперта должна быть доступна на каждой странице продукта, особенно для сложных технических продуктов.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✅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Live chat на каждой странице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Кнопка «Консультация эксперта» на PDP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Многоканальность: чат + телефон + email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База знаний и FAQ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❌ НЕ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Только форма обратной связи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Боты без эскалации к человеку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Скрытые контакты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Время ответа &gt; 24 часов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A56DB" w:sz="2"/>
              <w:right w:val="none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56DB"/>
                <w:sz w:val="24"/>
                <w:szCs w:val="24"/>
              </w:rPr>
              <w:t xml:space="preserve">█ Правило 6.3: </w:t>
            </w:r>
            <w:r>
              <w:rPr>
                <w:rFonts w:ascii="Georgia" w:cs="Georgia" w:eastAsia="Georgia" w:hAnsi="Georgia"/>
                <w:b/>
                <w:bCs/>
                <w:color w:val="111827"/>
                <w:sz w:val="24"/>
                <w:szCs w:val="24"/>
              </w:rPr>
              <w:t xml:space="preserve">Образовательный контент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4B5563"/>
                <w:sz w:val="22"/>
                <w:szCs w:val="22"/>
              </w:rPr>
              <w:t xml:space="preserve">B2B-покупатели проводят длительный ресёрч перед покупкой. Сайт должен предоставлять разнообразный контент: блоги, whitepapers, кейсы, видео, вебинары, технические гайды — на всех этапах воронки.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✅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Контент на каждом этапе воронки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Тех. документация рядом с продуктом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Кейсы и отзывы клиентов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Видео-демонстрации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❌ НЕ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Только каталог без контента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Принудительный гейтинг всего контента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Устаревшие материалы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Нет внутреннего поиска по контенту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111827"/>
          <w:sz w:val="36"/>
          <w:szCs w:val="36"/>
        </w:rPr>
        <w:t xml:space="preserve">VII. Интеграции и системная архитектура (UX-аспекты)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A56DB" w:sz="2"/>
              <w:right w:val="none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56DB"/>
                <w:sz w:val="24"/>
                <w:szCs w:val="24"/>
              </w:rPr>
              <w:t xml:space="preserve">█ Правило 7.1: </w:t>
            </w:r>
            <w:r>
              <w:rPr>
                <w:rFonts w:ascii="Georgia" w:cs="Georgia" w:eastAsia="Georgia" w:hAnsi="Georgia"/>
                <w:b/>
                <w:bCs/>
                <w:color w:val="111827"/>
                <w:sz w:val="24"/>
                <w:szCs w:val="24"/>
              </w:rPr>
              <w:t xml:space="preserve">Бесшовная ERP/CRM-интеграция в UI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4B5563"/>
                <w:sz w:val="22"/>
                <w:szCs w:val="22"/>
              </w:rPr>
              <w:t xml:space="preserve">Данные из ERP (цены, наличие, статусы) должны отображаться в реальном времени в интерфейсе. Пользователь не должен чувствовать, что данные приходят из разных систем. SAP Ariba и Grainger достигают этого через глубокую ERP-интеграцию.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✅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Реал-тайм синхронизация данных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Единый профиль клиента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Бесшовный UX между системами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Punchout-каталоги для крупных клиентов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❌ НЕ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Расхождение данных между системами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Ручной ввод данных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Задержка обновления наличия/цен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Несовместимость с основными ERP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A56DB" w:sz="2"/>
              <w:right w:val="none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56DB"/>
                <w:sz w:val="24"/>
                <w:szCs w:val="24"/>
              </w:rPr>
              <w:t xml:space="preserve">█ Правило 7.2: </w:t>
            </w:r>
            <w:r>
              <w:rPr>
                <w:rFonts w:ascii="Georgia" w:cs="Georgia" w:eastAsia="Georgia" w:hAnsi="Georgia"/>
                <w:b/>
                <w:bCs/>
                <w:color w:val="111827"/>
                <w:sz w:val="24"/>
                <w:szCs w:val="24"/>
              </w:rPr>
              <w:t xml:space="preserve">Мультиязычность и мультивалютность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4B5563"/>
                <w:sz w:val="22"/>
                <w:szCs w:val="22"/>
              </w:rPr>
              <w:t xml:space="preserve">Глобальные B2B-платформы (Alibaba, SAP Ariba) поддерживают множество языков и валют. UI должен позволять легко переключаться и корректно отображать локализованные данные (форматы дат, адресов, налогов).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✅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Переключатель языка/валюты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Локализованные форматы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Авто-налоговые калькуляции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• RTL-поддержка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❌ НЕ ДЕЛАЙ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Только один язык/валюта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Некорректные форматы дат/чисел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Сломанная вёрстка при смене языка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Нет поддержки кросс-бордер торговли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111827"/>
          <w:sz w:val="36"/>
          <w:szCs w:val="36"/>
        </w:rPr>
        <w:t xml:space="preserve">VIII. Чек-лист проектирования</w:t>
      </w:r>
    </w:p>
    <w:p>
      <w:pPr>
        <w:spacing w:before="80" w:after="80" w:line="320"/>
        <w:jc w:val="left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Используйте этот чек-лист при аудите или проектировании B2B eCommerce платформы:</w:t>
      </w:r>
    </w:p>
    <w:p>
      <w:pPr>
        <w:spacing w:before="100" w:after="0"/>
      </w:pPr>
    </w:p>
    <w:p>
      <w:pPr>
        <w:pStyle w:val="Heading2"/>
        <w:spacing w:before="300" w:after="160"/>
      </w:pPr>
      <w:r>
        <w:rPr>
          <w:rFonts w:ascii="Georgia" w:cs="Georgia" w:eastAsia="Georgia" w:hAnsi="Georgia"/>
          <w:b/>
          <w:bCs/>
          <w:color w:val="1A56DB"/>
          <w:sz w:val="28"/>
          <w:szCs w:val="28"/>
        </w:rPr>
        <w:t xml:space="preserve">Навигация и поиск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Мультимодальная навигация (категории + отрасли + решения)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Фасетный поиск с autocomplete и поддержкой SKU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Хлебные крошки на всех уровнях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Сохранение поисковых запросов</w:t>
      </w:r>
    </w:p>
    <w:p>
      <w:pPr>
        <w:pStyle w:val="Heading2"/>
        <w:spacing w:before="300" w:after="160"/>
      </w:pPr>
      <w:r>
        <w:rPr>
          <w:rFonts w:ascii="Georgia" w:cs="Georgia" w:eastAsia="Georgia" w:hAnsi="Georgia"/>
          <w:b/>
          <w:bCs/>
          <w:color w:val="1A56DB"/>
          <w:sz w:val="28"/>
          <w:szCs w:val="28"/>
        </w:rPr>
        <w:t xml:space="preserve">Страница продукта</w:t>
      </w:r>
    </w:p>
    <w:p>
      <w:pPr>
        <w:pStyle w:val="ListParagraph"/>
        <w:numPr>
          <w:ilvl w:val="0"/>
          <w:numId w:val="3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SKU, MOQ, RRP, наличие в реальном времени</w:t>
      </w:r>
    </w:p>
    <w:p>
      <w:pPr>
        <w:pStyle w:val="ListParagraph"/>
        <w:numPr>
          <w:ilvl w:val="0"/>
          <w:numId w:val="3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Ступенчатое ценообразование</w:t>
      </w:r>
    </w:p>
    <w:p>
      <w:pPr>
        <w:pStyle w:val="ListParagraph"/>
        <w:numPr>
          <w:ilvl w:val="0"/>
          <w:numId w:val="3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Конфигуратор с сохранением</w:t>
      </w:r>
    </w:p>
    <w:p>
      <w:pPr>
        <w:pStyle w:val="ListParagraph"/>
        <w:numPr>
          <w:ilvl w:val="0"/>
          <w:numId w:val="3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Сравнение товаров side-by-side</w:t>
      </w:r>
    </w:p>
    <w:p>
      <w:pPr>
        <w:pStyle w:val="ListParagraph"/>
        <w:numPr>
          <w:ilvl w:val="0"/>
          <w:numId w:val="3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Техническая документация и спецификации</w:t>
      </w:r>
    </w:p>
    <w:p>
      <w:pPr>
        <w:pStyle w:val="Heading2"/>
        <w:spacing w:before="300" w:after="160"/>
      </w:pPr>
      <w:r>
        <w:rPr>
          <w:rFonts w:ascii="Georgia" w:cs="Georgia" w:eastAsia="Georgia" w:hAnsi="Georgia"/>
          <w:b/>
          <w:bCs/>
          <w:color w:val="1A56DB"/>
          <w:sz w:val="28"/>
          <w:szCs w:val="28"/>
        </w:rPr>
        <w:t xml:space="preserve">Корзина и чекаут</w:t>
      </w:r>
    </w:p>
    <w:p>
      <w:pPr>
        <w:pStyle w:val="ListParagraph"/>
        <w:numPr>
          <w:ilvl w:val="0"/>
          <w:numId w:val="4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Быстрый повторный заказ / списки закупок</w:t>
      </w:r>
    </w:p>
    <w:p>
      <w:pPr>
        <w:pStyle w:val="ListParagraph"/>
        <w:numPr>
          <w:ilvl w:val="0"/>
          <w:numId w:val="4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Загрузка заказа из CSV</w:t>
      </w:r>
    </w:p>
    <w:p>
      <w:pPr>
        <w:pStyle w:val="ListParagraph"/>
        <w:numPr>
          <w:ilvl w:val="0"/>
          <w:numId w:val="4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Воркфлоу согласований с визуальным статусом</w:t>
      </w:r>
    </w:p>
    <w:p>
      <w:pPr>
        <w:pStyle w:val="ListParagraph"/>
        <w:numPr>
          <w:ilvl w:val="0"/>
          <w:numId w:val="4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Множество способов оплаты (PO, счёт, net-условия)</w:t>
      </w:r>
    </w:p>
    <w:p>
      <w:pPr>
        <w:pStyle w:val="ListParagraph"/>
        <w:numPr>
          <w:ilvl w:val="0"/>
          <w:numId w:val="4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RFQ интегрирован в корзину</w:t>
      </w:r>
    </w:p>
    <w:p>
      <w:pPr>
        <w:pStyle w:val="ListParagraph"/>
        <w:numPr>
          <w:ilvl w:val="0"/>
          <w:numId w:val="4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Контроль бюджета на чекауте</w:t>
      </w:r>
    </w:p>
    <w:p>
      <w:pPr>
        <w:pStyle w:val="Heading2"/>
        <w:spacing w:before="300" w:after="160"/>
      </w:pPr>
      <w:r>
        <w:rPr>
          <w:rFonts w:ascii="Georgia" w:cs="Georgia" w:eastAsia="Georgia" w:hAnsi="Georgia"/>
          <w:b/>
          <w:bCs/>
          <w:color w:val="1A56DB"/>
          <w:sz w:val="28"/>
          <w:szCs w:val="28"/>
        </w:rPr>
        <w:t xml:space="preserve">Личный кабинет</w:t>
      </w:r>
    </w:p>
    <w:p>
      <w:pPr>
        <w:pStyle w:val="ListParagraph"/>
        <w:numPr>
          <w:ilvl w:val="0"/>
          <w:numId w:val="5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Ролевой доступ и мультипользовательские аккаунты</w:t>
      </w:r>
    </w:p>
    <w:p>
      <w:pPr>
        <w:pStyle w:val="ListParagraph"/>
        <w:numPr>
          <w:ilvl w:val="0"/>
          <w:numId w:val="5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Персонализация цен и каталога</w:t>
      </w:r>
    </w:p>
    <w:p>
      <w:pPr>
        <w:pStyle w:val="ListParagraph"/>
        <w:numPr>
          <w:ilvl w:val="0"/>
          <w:numId w:val="5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Дашборд с аналитикой и быстрыми действиями</w:t>
      </w:r>
    </w:p>
    <w:p>
      <w:pPr>
        <w:pStyle w:val="ListParagraph"/>
        <w:numPr>
          <w:ilvl w:val="0"/>
          <w:numId w:val="5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История заказов с фильтрами и экспортом</w:t>
      </w:r>
    </w:p>
    <w:p>
      <w:pPr>
        <w:pStyle w:val="Heading2"/>
        <w:spacing w:before="300" w:after="160"/>
      </w:pPr>
      <w:r>
        <w:rPr>
          <w:rFonts w:ascii="Georgia" w:cs="Georgia" w:eastAsia="Georgia" w:hAnsi="Georgia"/>
          <w:b/>
          <w:bCs/>
          <w:color w:val="1A56DB"/>
          <w:sz w:val="28"/>
          <w:szCs w:val="28"/>
        </w:rPr>
        <w:t xml:space="preserve">Визуальный дизайн</w:t>
      </w:r>
    </w:p>
    <w:p>
      <w:pPr>
        <w:pStyle w:val="ListParagraph"/>
        <w:numPr>
          <w:ilvl w:val="0"/>
          <w:numId w:val="6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Консистентная дизайн-система</w:t>
      </w:r>
    </w:p>
    <w:p>
      <w:pPr>
        <w:pStyle w:val="ListParagraph"/>
        <w:numPr>
          <w:ilvl w:val="0"/>
          <w:numId w:val="6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Адаптивность на всех устройствах</w:t>
      </w:r>
    </w:p>
    <w:p>
      <w:pPr>
        <w:pStyle w:val="ListParagraph"/>
        <w:numPr>
          <w:ilvl w:val="0"/>
          <w:numId w:val="6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Стандартные UI-компоненты</w:t>
      </w:r>
    </w:p>
    <w:p>
      <w:pPr>
        <w:pStyle w:val="ListParagraph"/>
        <w:numPr>
          <w:ilvl w:val="0"/>
          <w:numId w:val="6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Data-dense таблицы с сортировкой и bulk actions</w:t>
      </w:r>
    </w:p>
    <w:p>
      <w:pPr>
        <w:pStyle w:val="Heading2"/>
        <w:spacing w:before="300" w:after="160"/>
      </w:pPr>
      <w:r>
        <w:rPr>
          <w:rFonts w:ascii="Georgia" w:cs="Georgia" w:eastAsia="Georgia" w:hAnsi="Georgia"/>
          <w:b/>
          <w:bCs/>
          <w:color w:val="1A56DB"/>
          <w:sz w:val="28"/>
          <w:szCs w:val="28"/>
        </w:rPr>
        <w:t xml:space="preserve">Доверие и поддержка</w:t>
      </w:r>
    </w:p>
    <w:p>
      <w:pPr>
        <w:pStyle w:val="ListParagraph"/>
        <w:numPr>
          <w:ilvl w:val="0"/>
          <w:numId w:val="7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Элементы доверия на каждой странице</w:t>
      </w:r>
    </w:p>
    <w:p>
      <w:pPr>
        <w:pStyle w:val="ListParagraph"/>
        <w:numPr>
          <w:ilvl w:val="0"/>
          <w:numId w:val="7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Омниканальная поддержка (chat + телефон + email)</w:t>
      </w:r>
    </w:p>
    <w:p>
      <w:pPr>
        <w:pStyle w:val="ListParagraph"/>
        <w:numPr>
          <w:ilvl w:val="0"/>
          <w:numId w:val="7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Образовательный контент на всех этапах</w:t>
      </w:r>
    </w:p>
    <w:p>
      <w:pPr>
        <w:pStyle w:val="ListParagraph"/>
        <w:numPr>
          <w:ilvl w:val="0"/>
          <w:numId w:val="7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Мультиязычность и мультивалютность</w:t>
      </w:r>
    </w:p>
    <w:p>
      <w:pPr>
        <w:pStyle w:val="ListParagraph"/>
        <w:numPr>
          <w:ilvl w:val="0"/>
          <w:numId w:val="7"/>
        </w:numPr>
        <w:spacing w:before="60" w:after="60" w:line="30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ERP/CRM-интеграция в UI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1" w:space="6"/>
      </w:pBdr>
      <w:jc w:val="right"/>
    </w:pPr>
    <w:r>
      <w:rPr>
        <w:rFonts w:ascii="Calibri" w:cs="Calibri" w:eastAsia="Calibri" w:hAnsi="Calibri"/>
        <w:i/>
        <w:iCs/>
        <w:color w:val="4B5563"/>
        <w:sz w:val="18"/>
        <w:szCs w:val="18"/>
      </w:rPr>
      <w:t xml:space="preserve">B2B eCommerce — UX/UI Design Rules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Georgia" w:cs="Georgia" w:eastAsia="Georgia" w:hAnsi="Georgia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2026-03-21T08:42:23.784Z</dcterms:created>
  <dcterms:modified xsi:type="dcterms:W3CDTF">2026-03-21T08:42:23.808Z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