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420" w:lineRule="atLeast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Из открытых источников известно, что у ближайших конкурентов на каждую сотню проводимых их клиентами транзакций фиксируется не более двух мошеннических, приводящих к потере денежных средств. При этом общий ущерб клиентов за месяц не превышает 500 тыс. рублей. Разрабатываемая система должна выдавать результаты не хуже, иначе компания станет неконкурентоспособной. Производительность системы В среднем, компания обрабатывает около 50 транзакций в секунду, однако, перед праздниками это число может достигать 400. Требования к ложным </w:t>
      </w:r>
      <w:proofErr w:type="gram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срабатываниям Если</w:t>
      </w:r>
      <w:proofErr w:type="gram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 xml:space="preserve"> система определит корректную транзакцию как мошенническую, эта транзакция будет отклонена, а пользователь будет недоволен. Опыт бизнес-аналитиков подсказывает, что если доля таких транзакций превысит 5%, то начнется отток клиентов из компании.</w:t>
      </w:r>
    </w:p>
    <w:p w:rsidR="0003499F" w:rsidRPr="0003499F" w:rsidRDefault="00171BB6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3499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🔍</w:t>
      </w:r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1.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Требования к качеству (эффективность против мошенничества)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«Не более 2 мошеннических транзакций на 100» → это неверно интерпретировано!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На самом деле: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«не более 2 </w:t>
      </w:r>
      <w:r w:rsidRPr="0003499F">
        <w:rPr>
          <w:rFonts w:ascii="Arial" w:eastAsia="Times New Roman" w:hAnsi="Arial" w:cs="Arial"/>
          <w:i/>
          <w:iCs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успешных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мошеннических транзакций на 100 </w:t>
      </w:r>
      <w:r w:rsidRPr="0003499F">
        <w:rPr>
          <w:rFonts w:ascii="Arial" w:eastAsia="Times New Roman" w:hAnsi="Arial" w:cs="Arial"/>
          <w:i/>
          <w:iCs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всех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транзакций»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— но это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слишком много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(2% = 20 000 на 1 млн транзакций).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Скорее всего, имеется в виду: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«Не более 2 </w:t>
      </w:r>
      <w:r w:rsidRPr="0003499F">
        <w:rPr>
          <w:rFonts w:ascii="Arial" w:eastAsia="Times New Roman" w:hAnsi="Arial" w:cs="Arial"/>
          <w:i/>
          <w:iCs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успешных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мошеннических транзакций на 100 </w:t>
      </w:r>
      <w:r w:rsidRPr="0003499F">
        <w:rPr>
          <w:rFonts w:ascii="Arial" w:eastAsia="Times New Roman" w:hAnsi="Arial" w:cs="Arial"/>
          <w:i/>
          <w:iCs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тысяч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транзакций»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(это соответствует реальной статистике: уровень мошенничества ~0.001–0.01%).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Но давайте отталкиваться от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второй части требования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ущерб ≤ 500 000 ₽/мес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Допущения для расчёта:</w:t>
      </w:r>
    </w:p>
    <w:p w:rsidR="0003499F" w:rsidRPr="0003499F" w:rsidRDefault="0003499F" w:rsidP="0003499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Средний ущерб от одной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успешной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мошеннической транзакции: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~10 000 ₽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br/>
        <w:t>(реалистично для банковских карт: от 1 000 до 50 000 ₽).</w:t>
      </w:r>
    </w:p>
    <w:p w:rsidR="0003499F" w:rsidRPr="0003499F" w:rsidRDefault="0003499F" w:rsidP="0003499F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Тогда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максимум успешных мошеннических транзакций в месяц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10000500000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=50 транзакций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Сколько всего транзакций в месяц?</w:t>
      </w:r>
    </w:p>
    <w:p w:rsidR="0003499F" w:rsidRPr="0003499F" w:rsidRDefault="0003499F" w:rsidP="000349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Средняя нагрузка: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50 транзакций/сек</w:t>
      </w:r>
    </w:p>
    <w:p w:rsidR="0003499F" w:rsidRPr="0003499F" w:rsidRDefault="0003499F" w:rsidP="000349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В месяце ≈ 30 дней = 2 592 000 секунд</w:t>
      </w:r>
    </w:p>
    <w:p w:rsidR="0003499F" w:rsidRPr="0003499F" w:rsidRDefault="0003499F" w:rsidP="0003499F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Общее число транзакций в месяц: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50</w:t>
      </w:r>
      <w:r w:rsidRPr="0003499F">
        <w:rPr>
          <w:rFonts w:ascii="Cambria Math" w:eastAsia="Times New Roman" w:hAnsi="Cambria Math" w:cs="Cambria Math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⋅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2592000≈129.6 млн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(даже с пиковыми нагрузками — не более ~200 млн)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 xml:space="preserve">Тогда допустимый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уровень пропущенного мошенничества</w:t>
      </w: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:</w:t>
      </w:r>
    </w:p>
    <w:p w:rsidR="0003499F" w:rsidRPr="0003499F" w:rsidRDefault="0003499F" w:rsidP="0003499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lastRenderedPageBreak/>
        <w:t xml:space="preserve">Допустимо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50 успешных мошеннических транзакций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из, скажем,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1000 реальных попыток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(предположим, что в месяц ~1000 мошеннических попыток).</w:t>
      </w:r>
    </w:p>
    <w:p w:rsidR="0003499F" w:rsidRPr="0003499F" w:rsidRDefault="0003499F" w:rsidP="0003499F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Тогда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(полнота)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должен быть: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Recall≥1−100050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eastAsia="ru-RU"/>
        </w:rPr>
        <w:t>​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eastAsia="ru-RU"/>
        </w:rPr>
        <w:t>=0.95(95%)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Целевой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≥ 95%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</w:p>
    <w:p w:rsidR="0003499F" w:rsidRPr="0003499F" w:rsidRDefault="00171BB6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3499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🎯</w:t>
      </w:r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2.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Требования к ложным срабатываниям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«Если доля ложных срабатываний превысит 5%, начнётся отток клиентов».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Здесь важно понимать: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5% от чего?</w:t>
      </w:r>
    </w:p>
    <w:p w:rsidR="0003499F" w:rsidRPr="0003499F" w:rsidRDefault="0003499F" w:rsidP="0003499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5% от всех </w:t>
      </w:r>
      <w:r w:rsidRPr="0003499F">
        <w:rPr>
          <w:rFonts w:ascii="Arial" w:eastAsia="Times New Roman" w:hAnsi="Arial" w:cs="Arial"/>
          <w:i/>
          <w:iCs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корректных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транзакций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, ошибочно заблокированных как мошеннические.</w:t>
      </w:r>
    </w:p>
    <w:p w:rsidR="0003499F" w:rsidRPr="0003499F" w:rsidRDefault="0003499F" w:rsidP="0003499F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есть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False Positive Rate (FPR) ≤ 5%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Но в контексте несбалансированных данных удобнее использовать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Пусть:</w:t>
      </w:r>
    </w:p>
    <w:p w:rsidR="0003499F" w:rsidRPr="0003499F" w:rsidRDefault="0003499F" w:rsidP="0003499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Общее число транзакций: 100%</w:t>
      </w:r>
    </w:p>
    <w:p w:rsidR="0003499F" w:rsidRPr="0003499F" w:rsidRDefault="0003499F" w:rsidP="0003499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Доля мошеннических: ~0.1% (1 на 1000)</w:t>
      </w:r>
    </w:p>
    <w:p w:rsidR="0003499F" w:rsidRPr="0003499F" w:rsidRDefault="0003499F" w:rsidP="0003499F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Тогда доля легитимных: 99.9%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Если FPR = 5%, то:</w:t>
      </w:r>
    </w:p>
    <w:p w:rsidR="0003499F" w:rsidRPr="0003499F" w:rsidRDefault="0003499F" w:rsidP="0003499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Ложных срабатываний: 5% от 99.9% ≈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4.995% от всех транзакций</w:t>
      </w:r>
    </w:p>
    <w:p w:rsidR="0003499F" w:rsidRPr="0003499F" w:rsidRDefault="0003499F" w:rsidP="0003499F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А настоящих мошеннических, которые мы поймали (при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=95%): 95% от 0.1% =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0.095%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Тогда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Precision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будет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>:</w:t>
      </w:r>
    </w:p>
    <w:p w:rsidR="0003499F" w:rsidRPr="0003499F" w:rsidRDefault="0003499F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Precision=</w:t>
      </w:r>
      <w:r w:rsidRPr="0003499F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TP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+</w:t>
      </w:r>
      <w:r w:rsidRPr="0003499F">
        <w:rPr>
          <w:rFonts w:ascii="KaTeX_Math" w:eastAsia="Times New Roman" w:hAnsi="KaTeX_Math" w:cs="Times New Roman"/>
          <w:i/>
          <w:iCs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FPTP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=0.095+4.9950.095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≈5.090.095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"/>
          <w:szCs w:val="2"/>
          <w:bdr w:val="single" w:sz="2" w:space="0" w:color="auto" w:frame="1"/>
          <w:lang w:val="en-US" w:eastAsia="ru-RU"/>
        </w:rPr>
        <w:t>​</w:t>
      </w:r>
      <w:r w:rsidRPr="0003499F">
        <w:rPr>
          <w:rFonts w:ascii="Times New Roman" w:eastAsia="Times New Roman" w:hAnsi="Times New Roman" w:cs="Times New Roman"/>
          <w:color w:val="2C2C36"/>
          <w:spacing w:val="5"/>
          <w:sz w:val="29"/>
          <w:szCs w:val="29"/>
          <w:bdr w:val="single" w:sz="2" w:space="0" w:color="auto" w:frame="1"/>
          <w:lang w:val="en-US" w:eastAsia="ru-RU"/>
        </w:rPr>
        <w:t>≈1.87%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очень низкая точность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— почти все блокировки будут ложными!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Но бизнес говорит: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«не более 5% ложных блокировок от всех </w:t>
      </w:r>
      <w:r w:rsidRPr="0003499F">
        <w:rPr>
          <w:rFonts w:ascii="Arial" w:eastAsia="Times New Roman" w:hAnsi="Arial" w:cs="Arial"/>
          <w:i/>
          <w:iCs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корректных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транзакций»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→ это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FPR ≤ 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и это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допустимо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несмотря на низкую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precision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.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Однако на практике банки стараются держать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FPR гораздо ниже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(0.1–1%), чтобы не раздражать клиентов.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Уточнение: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Скорее всего, бизнес имеет в виду: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«Среди всех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заблокированных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транзакций не более 5% должны быть ложными»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→ Это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≥ 95%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Но это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противоречит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требованию к ущербу (нужен высокий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). В реальности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невозможно одновременно иметь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=95% и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precision</w:t>
      </w:r>
      <w:proofErr w:type="spellEnd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=95%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при сильном дисбалансе.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Реалистичная интерпретация: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«Доля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корректных транзакций, ошибочно заблокированных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, не должна превышать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5% от всех корректных транзакций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→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FPR ≤ 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Но это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слишком мягко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. Вероятнее, имеется в виду: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lastRenderedPageBreak/>
        <w:t xml:space="preserve">«Не более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5% клиентов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сталкиваются с ложной блокировкой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в месяц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»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  <w:t xml:space="preserve">→ Это уже метрика на уровне пользователя, а не транзакции. 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Практическое решение: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Будем использовать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ограничение на FPR ≤ 1%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(более реалистично), но формально удовлетворим требованию: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</w:pPr>
      <w:r w:rsidRPr="0003499F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val="en-US" w:eastAsia="ru-RU"/>
        </w:rPr>
        <w:t>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val="en-US" w:eastAsia="ru-RU"/>
        </w:rPr>
        <w:t>False Positive Rate (FPR) ≤ 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br/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Или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, 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что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то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же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>самое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: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val="en-US" w:eastAsia="ru-RU"/>
        </w:rPr>
        <w:t>Specificity ≥ 95%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val="en-US" w:eastAsia="ru-RU"/>
        </w:rPr>
        <w:t xml:space="preserve"> </w:t>
      </w:r>
    </w:p>
    <w:p w:rsidR="0003499F" w:rsidRPr="0003499F" w:rsidRDefault="00171BB6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3499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⚙️</w:t>
      </w:r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3. 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bdr w:val="single" w:sz="2" w:space="0" w:color="E3E3E3" w:frame="1"/>
          <w:lang w:eastAsia="ru-RU"/>
        </w:rPr>
        <w:t>Требования к производительности</w:t>
      </w:r>
    </w:p>
    <w:p w:rsidR="0003499F" w:rsidRPr="0003499F" w:rsidRDefault="0003499F" w:rsidP="000349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Средняя нагрузка: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50 транзакций/сек</w:t>
      </w:r>
    </w:p>
    <w:p w:rsidR="0003499F" w:rsidRPr="0003499F" w:rsidRDefault="0003499F" w:rsidP="000349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Пиковая нагрузка: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400 транзакций/сек</w:t>
      </w:r>
    </w:p>
    <w:p w:rsidR="0003499F" w:rsidRPr="0003499F" w:rsidRDefault="0003499F" w:rsidP="0003499F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Значит, система должна обрабатывать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≥ 400 транзакций в секунду</w: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Требования к задержке (</w:t>
      </w:r>
      <w:proofErr w:type="spellStart"/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latency</w:t>
      </w:r>
      <w:proofErr w:type="spellEnd"/>
      <w:r w:rsidRPr="0003499F">
        <w:rPr>
          <w:rFonts w:ascii="Arial" w:eastAsia="Times New Roman" w:hAnsi="Arial" w:cs="Arial"/>
          <w:b/>
          <w:bCs/>
          <w:color w:val="2C2C36"/>
          <w:sz w:val="24"/>
          <w:szCs w:val="24"/>
          <w:lang w:eastAsia="ru-RU"/>
        </w:rPr>
        <w:t>):</w:t>
      </w:r>
    </w:p>
    <w:p w:rsidR="0003499F" w:rsidRPr="0003499F" w:rsidRDefault="0003499F" w:rsidP="000349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Для онлайн-платежей: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задержка </w:t>
      </w:r>
      <w:proofErr w:type="gram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&lt; 200</w:t>
      </w:r>
      <w:proofErr w:type="gramEnd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мс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(лучше &lt; 100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мс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03499F" w:rsidRPr="0003499F" w:rsidRDefault="0003499F" w:rsidP="0003499F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Это означает, что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одна транзакция должна обрабатываться за ≤ 100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мс</w:t>
      </w:r>
      <w:proofErr w:type="spellEnd"/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Latency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≤ 100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мс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на транзакцию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br/>
      </w:r>
      <w:r w:rsidRPr="0003499F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✅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Throughput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≥ 400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req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/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sec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</w:p>
    <w:p w:rsidR="0003499F" w:rsidRPr="0003499F" w:rsidRDefault="00171BB6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3499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📌</w:t>
      </w:r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Итог: Целевые метрики для ML-модели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2012"/>
        <w:gridCol w:w="2391"/>
        <w:gridCol w:w="2355"/>
      </w:tblGrid>
      <w:tr w:rsidR="0003499F" w:rsidRPr="0003499F" w:rsidTr="00244422">
        <w:trPr>
          <w:tblHeader/>
        </w:trPr>
        <w:tc>
          <w:tcPr>
            <w:tcW w:w="823" w:type="pct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7"/>
                <w:szCs w:val="27"/>
                <w:lang w:eastAsia="ru-RU"/>
              </w:rPr>
            </w:pPr>
          </w:p>
        </w:tc>
        <w:tc>
          <w:tcPr>
            <w:tcW w:w="1264" w:type="pct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pct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0" w:type="pct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99F" w:rsidRPr="0003499F" w:rsidTr="00244422">
        <w:tc>
          <w:tcPr>
            <w:tcW w:w="82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Эффективность</w:t>
            </w:r>
          </w:p>
        </w:tc>
        <w:tc>
          <w:tcPr>
            <w:tcW w:w="1264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Ущерб ≤ 500 тыс. ₽/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мес</w:t>
            </w:r>
            <w:proofErr w:type="spellEnd"/>
          </w:p>
        </w:tc>
        <w:tc>
          <w:tcPr>
            <w:tcW w:w="1293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Recall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(для класса «мошенничество»)</w:t>
            </w:r>
          </w:p>
        </w:tc>
        <w:tc>
          <w:tcPr>
            <w:tcW w:w="1620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≥ 95%</w:t>
            </w:r>
          </w:p>
        </w:tc>
      </w:tr>
      <w:tr w:rsidR="0003499F" w:rsidRPr="0003499F" w:rsidTr="00244422">
        <w:tc>
          <w:tcPr>
            <w:tcW w:w="82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Ложные срабатывания</w:t>
            </w:r>
          </w:p>
        </w:tc>
        <w:tc>
          <w:tcPr>
            <w:tcW w:w="1264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Отток клиентов при &gt;5% ложных блокировок</w:t>
            </w:r>
          </w:p>
        </w:tc>
        <w:tc>
          <w:tcPr>
            <w:tcW w:w="1293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False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Positive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Rate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 (FPR)</w:t>
            </w:r>
          </w:p>
        </w:tc>
        <w:tc>
          <w:tcPr>
            <w:tcW w:w="1620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≤ 5%</w:t>
            </w:r>
          </w:p>
        </w:tc>
      </w:tr>
      <w:tr w:rsidR="0003499F" w:rsidRPr="0003499F" w:rsidTr="00244422">
        <w:tc>
          <w:tcPr>
            <w:tcW w:w="82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</w:p>
        </w:tc>
        <w:tc>
          <w:tcPr>
            <w:tcW w:w="1264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(альтернатива)</w:t>
            </w:r>
          </w:p>
        </w:tc>
        <w:tc>
          <w:tcPr>
            <w:tcW w:w="1293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Precision</w:t>
            </w:r>
            <w:proofErr w:type="spellEnd"/>
          </w:p>
        </w:tc>
        <w:tc>
          <w:tcPr>
            <w:tcW w:w="1620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По возможности ≥ 10–20% (но уступает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recall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 в приоритете)</w:t>
            </w:r>
          </w:p>
        </w:tc>
      </w:tr>
      <w:tr w:rsidR="0003499F" w:rsidRPr="0003499F" w:rsidTr="00244422">
        <w:tc>
          <w:tcPr>
            <w:tcW w:w="82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Производительность</w:t>
            </w:r>
          </w:p>
        </w:tc>
        <w:tc>
          <w:tcPr>
            <w:tcW w:w="1264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 xml:space="preserve">Пиковая нагрузка 400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транз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/сек</w:t>
            </w:r>
          </w:p>
        </w:tc>
        <w:tc>
          <w:tcPr>
            <w:tcW w:w="1293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Latency</w:t>
            </w:r>
            <w:proofErr w:type="spellEnd"/>
          </w:p>
        </w:tc>
        <w:tc>
          <w:tcPr>
            <w:tcW w:w="1620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≤ 100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мс</w:t>
            </w:r>
            <w:proofErr w:type="spellEnd"/>
          </w:p>
        </w:tc>
      </w:tr>
      <w:tr w:rsidR="0003499F" w:rsidRPr="0003499F" w:rsidTr="00244422">
        <w:tc>
          <w:tcPr>
            <w:tcW w:w="82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</w:p>
        </w:tc>
        <w:tc>
          <w:tcPr>
            <w:tcW w:w="1264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3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Throughput</w:t>
            </w:r>
            <w:proofErr w:type="spellEnd"/>
          </w:p>
        </w:tc>
        <w:tc>
          <w:tcPr>
            <w:tcW w:w="1620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≥ 400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транз</w:t>
            </w:r>
            <w:proofErr w:type="spellEnd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/сек</w:t>
            </w:r>
          </w:p>
        </w:tc>
      </w:tr>
    </w:tbl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</w:pPr>
      <w:r w:rsidRPr="0003499F">
        <w:rPr>
          <w:rFonts w:ascii="Segoe UI Emoji" w:eastAsia="Times New Roman" w:hAnsi="Segoe UI Emoji" w:cs="Segoe UI Emoji"/>
          <w:color w:val="8F91A8"/>
          <w:spacing w:val="5"/>
          <w:sz w:val="21"/>
          <w:szCs w:val="21"/>
          <w:lang w:eastAsia="ru-RU"/>
        </w:rPr>
        <w:t>💡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Главная метрика для оптимизации: </w:t>
      </w:r>
      <w:proofErr w:type="spellStart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8F91A8"/>
          <w:spacing w:val="5"/>
          <w:sz w:val="24"/>
          <w:szCs w:val="24"/>
          <w:bdr w:val="single" w:sz="2" w:space="0" w:color="E3E3E3" w:frame="1"/>
          <w:lang w:eastAsia="ru-RU"/>
        </w:rPr>
        <w:t xml:space="preserve"> ≥ 95% при FPR ≤ 5%</w:t>
      </w:r>
      <w:r w:rsidRPr="0003499F">
        <w:rPr>
          <w:rFonts w:ascii="Arial" w:eastAsia="Times New Roman" w:hAnsi="Arial" w:cs="Arial"/>
          <w:color w:val="8F91A8"/>
          <w:spacing w:val="5"/>
          <w:sz w:val="21"/>
          <w:szCs w:val="21"/>
          <w:lang w:eastAsia="ru-RU"/>
        </w:rPr>
        <w:t xml:space="preserve"> </w:t>
      </w:r>
    </w:p>
    <w:p w:rsidR="00171BB6" w:rsidRPr="00171BB6" w:rsidRDefault="00171BB6" w:rsidP="00171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bookmarkStart w:id="0" w:name="_GoBack"/>
      <w:bookmarkEnd w:id="0"/>
    </w:p>
    <w:p w:rsidR="0003499F" w:rsidRPr="00171BB6" w:rsidRDefault="0003499F" w:rsidP="00171BB6">
      <w:pPr>
        <w:pStyle w:val="a6"/>
        <w:numPr>
          <w:ilvl w:val="0"/>
          <w:numId w:val="1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171BB6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lastRenderedPageBreak/>
        <w:t>🛠</w:t>
      </w:r>
      <w:r w:rsidRPr="00171BB6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️ Как этого достичь?</w:t>
      </w:r>
    </w:p>
    <w:p w:rsidR="0003499F" w:rsidRPr="0003499F" w:rsidRDefault="0003499F" w:rsidP="000349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Используйте F2-score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как основную метрику при подборе порога и сравнении моделей.</w:t>
      </w:r>
    </w:p>
    <w:p w:rsidR="0003499F" w:rsidRPr="0003499F" w:rsidRDefault="0003499F" w:rsidP="000349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Настройте порог вероятности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так, чтобы: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proofErr w:type="gramStart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recall</w:t>
      </w:r>
      <w:proofErr w:type="spellEnd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 &gt;</w:t>
      </w:r>
      <w:proofErr w:type="gramEnd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= 0.95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fpr</w:t>
      </w:r>
      <w:proofErr w:type="spellEnd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 xml:space="preserve"> &lt;= 0.05</w:t>
      </w:r>
    </w:p>
    <w:p w:rsidR="0003499F" w:rsidRPr="0003499F" w:rsidRDefault="0003499F" w:rsidP="000349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Применяйте методы для несбалансированных данных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class_weight</w:t>
      </w:r>
      <w:proofErr w:type="spellEnd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='</w:t>
      </w:r>
      <w:proofErr w:type="spellStart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balanced</w:t>
      </w:r>
      <w:proofErr w:type="spellEnd"/>
      <w:r w:rsidRPr="0003499F">
        <w:rPr>
          <w:rFonts w:ascii="SF Mono" w:eastAsia="Times New Roman" w:hAnsi="SF Mono" w:cs="Courier New"/>
          <w:color w:val="615CED"/>
          <w:spacing w:val="-5"/>
          <w:sz w:val="21"/>
          <w:szCs w:val="21"/>
          <w:bdr w:val="single" w:sz="2" w:space="2" w:color="E3E3E3" w:frame="1"/>
          <w:shd w:val="clear" w:color="auto" w:fill="EFEEFF"/>
          <w:lang w:eastAsia="ru-RU"/>
        </w:rPr>
        <w:t>'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SMOTE (осторожно — может вызывать переобучение)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Ансамбли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: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BalancedRandomForest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val="en-US" w:eastAsia="ru-RU"/>
        </w:rPr>
        <w:t xml:space="preserve">,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XGBoost</w:t>
      </w:r>
      <w:proofErr w:type="spellEnd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с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val="en-US" w:eastAsia="ru-RU"/>
        </w:rPr>
        <w:t>scale_pos_weight</w:t>
      </w:r>
      <w:proofErr w:type="spellEnd"/>
    </w:p>
    <w:p w:rsidR="0003499F" w:rsidRPr="0003499F" w:rsidRDefault="0003499F" w:rsidP="000349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Оптимизируйте модель под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latency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Избегайте слишком глубоких деревьев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Используйте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LightGBM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/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XGBoost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(быстрые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инференсы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Кэшируйте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feature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engineering</w:t>
      </w:r>
      <w:proofErr w:type="spellEnd"/>
    </w:p>
    <w:p w:rsidR="0003499F" w:rsidRPr="0003499F" w:rsidRDefault="0003499F" w:rsidP="0003499F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 xml:space="preserve">Мониторинг в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продакшене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:</w:t>
      </w:r>
    </w:p>
    <w:p w:rsidR="0003499F" w:rsidRPr="0003499F" w:rsidRDefault="0003499F" w:rsidP="0003499F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Отслеживайте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фактический ущерб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долю ложных блокировок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, </w:t>
      </w:r>
      <w:proofErr w:type="spellStart"/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latency</w:t>
      </w:r>
      <w:proofErr w:type="spellEnd"/>
    </w:p>
    <w:p w:rsidR="0003499F" w:rsidRPr="0003499F" w:rsidRDefault="00171BB6" w:rsidP="000349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03499F" w:rsidRPr="0003499F" w:rsidRDefault="0003499F" w:rsidP="0003499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180" w:line="240" w:lineRule="auto"/>
        <w:outlineLvl w:val="1"/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</w:pPr>
      <w:r w:rsidRPr="0003499F">
        <w:rPr>
          <w:rFonts w:ascii="Segoe UI Emoji" w:eastAsia="Times New Roman" w:hAnsi="Segoe UI Emoji" w:cs="Segoe UI Emoji"/>
          <w:b/>
          <w:bCs/>
          <w:color w:val="2C2C36"/>
          <w:sz w:val="27"/>
          <w:szCs w:val="27"/>
          <w:lang w:eastAsia="ru-RU"/>
        </w:rPr>
        <w:t>📈</w:t>
      </w:r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Пример целевой </w:t>
      </w:r>
      <w:proofErr w:type="spellStart"/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confusion</w:t>
      </w:r>
      <w:proofErr w:type="spellEnd"/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</w:t>
      </w:r>
      <w:proofErr w:type="spellStart"/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>matrix</w:t>
      </w:r>
      <w:proofErr w:type="spellEnd"/>
      <w:r w:rsidRPr="0003499F">
        <w:rPr>
          <w:rFonts w:ascii="Arial" w:eastAsia="Times New Roman" w:hAnsi="Arial" w:cs="Arial"/>
          <w:b/>
          <w:bCs/>
          <w:color w:val="2C2C36"/>
          <w:sz w:val="27"/>
          <w:szCs w:val="27"/>
          <w:lang w:eastAsia="ru-RU"/>
        </w:rPr>
        <w:t xml:space="preserve"> (на 1 млн транзакций)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2"/>
        <w:gridCol w:w="1529"/>
        <w:gridCol w:w="3588"/>
      </w:tblGrid>
      <w:tr w:rsidR="0003499F" w:rsidRPr="0003499F" w:rsidTr="00244422">
        <w:trPr>
          <w:tblHeader/>
        </w:trPr>
        <w:tc>
          <w:tcPr>
            <w:tcW w:w="2263" w:type="pct"/>
            <w:tcBorders>
              <w:left w:val="single" w:sz="2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rPr>
                <w:rFonts w:ascii="Arial" w:eastAsia="Times New Roman" w:hAnsi="Arial" w:cs="Arial"/>
                <w:color w:val="2C2C36"/>
                <w:sz w:val="27"/>
                <w:szCs w:val="27"/>
                <w:lang w:eastAsia="ru-RU"/>
              </w:rPr>
            </w:pPr>
          </w:p>
        </w:tc>
        <w:tc>
          <w:tcPr>
            <w:tcW w:w="818" w:type="pct"/>
            <w:tcBorders>
              <w:left w:val="single" w:sz="6" w:space="0" w:color="E1E3EA"/>
              <w:bottom w:val="single" w:sz="6" w:space="0" w:color="E1E3EA"/>
              <w:right w:val="single" w:sz="6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9" w:type="pct"/>
            <w:tcBorders>
              <w:left w:val="single" w:sz="6" w:space="0" w:color="E1E3EA"/>
              <w:bottom w:val="single" w:sz="6" w:space="0" w:color="E1E3EA"/>
              <w:right w:val="single" w:sz="2" w:space="0" w:color="E1E3EA"/>
            </w:tcBorders>
            <w:shd w:val="clear" w:color="auto" w:fill="F7F8FC"/>
            <w:tcMar>
              <w:top w:w="120" w:type="dxa"/>
              <w:left w:w="180" w:type="dxa"/>
              <w:bottom w:w="12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499F" w:rsidRPr="0003499F" w:rsidTr="00244422">
        <w:tc>
          <w:tcPr>
            <w:tcW w:w="226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 xml:space="preserve">Факт: </w:t>
            </w:r>
            <w:proofErr w:type="spellStart"/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Легитим</w:t>
            </w:r>
            <w:proofErr w:type="spellEnd"/>
          </w:p>
        </w:tc>
        <w:tc>
          <w:tcPr>
            <w:tcW w:w="818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994 950</w:t>
            </w:r>
          </w:p>
        </w:tc>
        <w:tc>
          <w:tcPr>
            <w:tcW w:w="1919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5 000</w:t>
            </w: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(FP, FPR = 0.5%)</w:t>
            </w:r>
          </w:p>
        </w:tc>
      </w:tr>
      <w:tr w:rsidR="0003499F" w:rsidRPr="0003499F" w:rsidTr="00244422">
        <w:tc>
          <w:tcPr>
            <w:tcW w:w="2263" w:type="pct"/>
            <w:tcBorders>
              <w:top w:val="single" w:sz="6" w:space="0" w:color="E1E3EA"/>
              <w:left w:val="single" w:sz="2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Факт: Мошенничество</w:t>
            </w:r>
          </w:p>
        </w:tc>
        <w:tc>
          <w:tcPr>
            <w:tcW w:w="818" w:type="pct"/>
            <w:tcBorders>
              <w:top w:val="single" w:sz="6" w:space="0" w:color="E1E3EA"/>
              <w:left w:val="single" w:sz="6" w:space="0" w:color="E1E3EA"/>
              <w:bottom w:val="nil"/>
              <w:right w:val="single" w:sz="6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50</w:t>
            </w: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(FN)</w:t>
            </w:r>
          </w:p>
        </w:tc>
        <w:tc>
          <w:tcPr>
            <w:tcW w:w="1919" w:type="pct"/>
            <w:tcBorders>
              <w:top w:val="single" w:sz="6" w:space="0" w:color="E1E3EA"/>
              <w:left w:val="single" w:sz="6" w:space="0" w:color="E1E3EA"/>
              <w:bottom w:val="nil"/>
              <w:right w:val="single" w:sz="2" w:space="0" w:color="E1E3EA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bottom"/>
            <w:hideMark/>
          </w:tcPr>
          <w:p w:rsidR="0003499F" w:rsidRPr="0003499F" w:rsidRDefault="0003499F" w:rsidP="0003499F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</w:pPr>
            <w:r w:rsidRPr="0003499F">
              <w:rPr>
                <w:rFonts w:ascii="Times New Roman" w:eastAsia="Times New Roman" w:hAnsi="Times New Roman" w:cs="Times New Roman"/>
                <w:color w:val="111827"/>
                <w:spacing w:val="5"/>
                <w:sz w:val="24"/>
                <w:szCs w:val="24"/>
                <w:bdr w:val="single" w:sz="2" w:space="0" w:color="E3E3E3" w:frame="1"/>
                <w:lang w:eastAsia="ru-RU"/>
              </w:rPr>
              <w:t>950</w:t>
            </w:r>
            <w:r w:rsidRPr="0003499F">
              <w:rPr>
                <w:rFonts w:ascii="Times New Roman" w:eastAsia="Times New Roman" w:hAnsi="Times New Roman" w:cs="Times New Roman"/>
                <w:color w:val="1D1D20"/>
                <w:spacing w:val="-5"/>
                <w:sz w:val="21"/>
                <w:szCs w:val="21"/>
                <w:lang w:eastAsia="ru-RU"/>
              </w:rPr>
              <w:t>(TP)</w:t>
            </w:r>
          </w:p>
        </w:tc>
      </w:tr>
    </w:tbl>
    <w:p w:rsidR="0003499F" w:rsidRPr="0003499F" w:rsidRDefault="0003499F" w:rsidP="000349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= 950 / (950 + 50) =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95%</w:t>
      </w:r>
    </w:p>
    <w:p w:rsidR="0003499F" w:rsidRPr="0003499F" w:rsidRDefault="0003499F" w:rsidP="000349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FPR = 5000 / (994950 + 5000) ≈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0.5%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</w:t>
      </w:r>
      <w:proofErr w:type="gram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(&lt; 5</w:t>
      </w:r>
      <w:proofErr w:type="gram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% </w:t>
      </w:r>
      <w:r w:rsidRPr="0003499F">
        <w:rPr>
          <w:rFonts w:ascii="Segoe UI Emoji" w:eastAsia="Times New Roman" w:hAnsi="Segoe UI Emoji" w:cs="Segoe UI Emoji"/>
          <w:color w:val="2C2C36"/>
          <w:spacing w:val="5"/>
          <w:sz w:val="24"/>
          <w:szCs w:val="24"/>
          <w:lang w:eastAsia="ru-RU"/>
        </w:rPr>
        <w:t>✅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03499F" w:rsidRPr="0003499F" w:rsidRDefault="0003499F" w:rsidP="0003499F">
      <w:pPr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</w:pP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Precision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= 950 / (950 + 5000) ≈ </w:t>
      </w:r>
      <w:r w:rsidRPr="0003499F">
        <w:rPr>
          <w:rFonts w:ascii="Arial" w:eastAsia="Times New Roman" w:hAnsi="Arial" w:cs="Arial"/>
          <w:color w:val="111827"/>
          <w:spacing w:val="5"/>
          <w:sz w:val="24"/>
          <w:szCs w:val="24"/>
          <w:bdr w:val="single" w:sz="2" w:space="0" w:color="E3E3E3" w:frame="1"/>
          <w:lang w:eastAsia="ru-RU"/>
        </w:rPr>
        <w:t>16%</w:t>
      </w:r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 xml:space="preserve"> (низко, но приемлемо при высоком </w:t>
      </w:r>
      <w:proofErr w:type="spellStart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recall</w:t>
      </w:r>
      <w:proofErr w:type="spellEnd"/>
      <w:r w:rsidRPr="0003499F">
        <w:rPr>
          <w:rFonts w:ascii="Arial" w:eastAsia="Times New Roman" w:hAnsi="Arial" w:cs="Arial"/>
          <w:color w:val="2C2C36"/>
          <w:spacing w:val="5"/>
          <w:sz w:val="24"/>
          <w:szCs w:val="24"/>
          <w:lang w:eastAsia="ru-RU"/>
        </w:rPr>
        <w:t>)</w:t>
      </w:r>
    </w:p>
    <w:p w:rsidR="009653D9" w:rsidRDefault="009653D9"/>
    <w:sectPr w:rsidR="00965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F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27" style="width:0;height:0" o:hralign="center" o:bullet="t" o:hrstd="t" o:hr="t" fillcolor="#a0a0a0" stroked="f"/>
    </w:pict>
  </w:numPicBullet>
  <w:abstractNum w:abstractNumId="0" w15:restartNumberingAfterBreak="0">
    <w:nsid w:val="0F6B2C92"/>
    <w:multiLevelType w:val="multilevel"/>
    <w:tmpl w:val="5280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BF518E"/>
    <w:multiLevelType w:val="multilevel"/>
    <w:tmpl w:val="FF0E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5034B0"/>
    <w:multiLevelType w:val="multilevel"/>
    <w:tmpl w:val="1500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16993"/>
    <w:multiLevelType w:val="multilevel"/>
    <w:tmpl w:val="E4BE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D437C8"/>
    <w:multiLevelType w:val="multilevel"/>
    <w:tmpl w:val="59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671A8B"/>
    <w:multiLevelType w:val="multilevel"/>
    <w:tmpl w:val="FC4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2F0AF0"/>
    <w:multiLevelType w:val="hybridMultilevel"/>
    <w:tmpl w:val="88547098"/>
    <w:lvl w:ilvl="0" w:tplc="F0E07D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04F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6494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30F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CF1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6E4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7610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29D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3681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250527C"/>
    <w:multiLevelType w:val="multilevel"/>
    <w:tmpl w:val="69B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AA2D52"/>
    <w:multiLevelType w:val="multilevel"/>
    <w:tmpl w:val="A29E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837F2C"/>
    <w:multiLevelType w:val="multilevel"/>
    <w:tmpl w:val="1E7E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8615A7"/>
    <w:multiLevelType w:val="multilevel"/>
    <w:tmpl w:val="C7F4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9F"/>
    <w:rsid w:val="0003499F"/>
    <w:rsid w:val="000A6FE6"/>
    <w:rsid w:val="00171BB6"/>
    <w:rsid w:val="00244422"/>
    <w:rsid w:val="003D14F8"/>
    <w:rsid w:val="009653D9"/>
    <w:rsid w:val="00A8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F21A0"/>
  <w15:chartTrackingRefBased/>
  <w15:docId w15:val="{E93F7040-545D-44F7-B78B-DA312326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4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4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49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49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03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flex">
    <w:name w:val="inline-flex"/>
    <w:basedOn w:val="a0"/>
    <w:rsid w:val="0003499F"/>
  </w:style>
  <w:style w:type="paragraph" w:styleId="a3">
    <w:name w:val="Normal (Web)"/>
    <w:basedOn w:val="a"/>
    <w:uiPriority w:val="99"/>
    <w:semiHidden/>
    <w:unhideWhenUsed/>
    <w:rsid w:val="0003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499F"/>
    <w:rPr>
      <w:b/>
      <w:bCs/>
    </w:rPr>
  </w:style>
  <w:style w:type="character" w:styleId="a5">
    <w:name w:val="Emphasis"/>
    <w:basedOn w:val="a0"/>
    <w:uiPriority w:val="20"/>
    <w:qFormat/>
    <w:rsid w:val="0003499F"/>
    <w:rPr>
      <w:i/>
      <w:iCs/>
    </w:rPr>
  </w:style>
  <w:style w:type="character" w:customStyle="1" w:styleId="mord">
    <w:name w:val="mord"/>
    <w:basedOn w:val="a0"/>
    <w:rsid w:val="0003499F"/>
  </w:style>
  <w:style w:type="character" w:customStyle="1" w:styleId="mopen">
    <w:name w:val="mopen"/>
    <w:basedOn w:val="a0"/>
    <w:rsid w:val="0003499F"/>
  </w:style>
  <w:style w:type="character" w:customStyle="1" w:styleId="vlist-s">
    <w:name w:val="vlist-s"/>
    <w:basedOn w:val="a0"/>
    <w:rsid w:val="0003499F"/>
  </w:style>
  <w:style w:type="character" w:customStyle="1" w:styleId="mclose">
    <w:name w:val="mclose"/>
    <w:basedOn w:val="a0"/>
    <w:rsid w:val="0003499F"/>
  </w:style>
  <w:style w:type="character" w:customStyle="1" w:styleId="mrel">
    <w:name w:val="mrel"/>
    <w:basedOn w:val="a0"/>
    <w:rsid w:val="0003499F"/>
  </w:style>
  <w:style w:type="character" w:customStyle="1" w:styleId="mbin">
    <w:name w:val="mbin"/>
    <w:basedOn w:val="a0"/>
    <w:rsid w:val="0003499F"/>
  </w:style>
  <w:style w:type="character" w:styleId="HTML">
    <w:name w:val="HTML Code"/>
    <w:basedOn w:val="a0"/>
    <w:uiPriority w:val="99"/>
    <w:semiHidden/>
    <w:unhideWhenUsed/>
    <w:rsid w:val="0003499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171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69190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2703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3711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79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75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34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4581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204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2462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712579">
                      <w:marLeft w:val="0"/>
                      <w:marRight w:val="15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619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  <w:div w:id="718364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28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9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801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480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9218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56394035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111978177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0711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62019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7419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348170986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8503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405955404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33272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809445924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933243045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14777832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545341217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2017413837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507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79830068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3772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4521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3EA"/>
                                            <w:left w:val="single" w:sz="6" w:space="0" w:color="E1E3EA"/>
                                            <w:bottom w:val="single" w:sz="6" w:space="0" w:color="E1E3EA"/>
                                            <w:right w:val="single" w:sz="6" w:space="0" w:color="E1E3EA"/>
                                          </w:divBdr>
                                          <w:divsChild>
                                            <w:div w:id="63078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443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87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03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90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30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4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973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38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12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2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73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061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11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876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8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0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3710693">
                                          <w:blockQuote w:val="1"/>
                                          <w:marLeft w:val="0"/>
                                          <w:marRight w:val="0"/>
                                          <w:marTop w:val="180"/>
                                          <w:marBottom w:val="18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92742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7047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  <w:div w:id="128615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1E3EA"/>
                                            <w:left w:val="single" w:sz="6" w:space="0" w:color="E1E3EA"/>
                                            <w:bottom w:val="single" w:sz="6" w:space="0" w:color="E1E3EA"/>
                                            <w:right w:val="single" w:sz="6" w:space="0" w:color="E1E3EA"/>
                                          </w:divBdr>
                                          <w:divsChild>
                                            <w:div w:id="6248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61702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77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82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06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9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none" w:sz="0" w:space="0" w:color="auto"/>
                                                    <w:bottom w:val="single" w:sz="2" w:space="0" w:color="E3E3E3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Олег Алексеевич</dc:creator>
  <cp:keywords/>
  <dc:description/>
  <cp:lastModifiedBy>Алексеев Олег Алексеевич</cp:lastModifiedBy>
  <cp:revision>5</cp:revision>
  <dcterms:created xsi:type="dcterms:W3CDTF">2025-11-01T09:16:00Z</dcterms:created>
  <dcterms:modified xsi:type="dcterms:W3CDTF">2025-11-01T10:15:00Z</dcterms:modified>
</cp:coreProperties>
</file>